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1 к Документации о закупке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</w:pPr>
      <w:r>
        <w:t xml:space="preserve">                                                                                                           </w:t>
      </w:r>
      <w:r/>
    </w:p>
    <w:p>
      <w:pPr>
        <w:pStyle w:val="830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</w:p>
    <w:p>
      <w:pPr>
        <w:pStyle w:val="830"/>
      </w:pPr>
      <w:r>
        <w:t xml:space="preserve">                                                                                               </w:t>
      </w:r>
      <w:r/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  <w:jc w:val="center"/>
        <w:keepLines/>
        <w:keepNext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b/>
          <w:sz w:val="28"/>
          <w:szCs w:val="26"/>
        </w:rPr>
        <w:t xml:space="preserve">Технические требования на выполнение работ</w:t>
      </w: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</w:p>
    <w:p>
      <w:pPr>
        <w:pStyle w:val="830"/>
        <w:keepLines/>
        <w:keepNext/>
        <w:rPr>
          <w:rFonts w:ascii="Times New Roman" w:hAnsi="Times New Roman" w:eastAsia="Times New Roman" w:cs="Times New Roman"/>
          <w:b/>
          <w:bCs/>
          <w:i w:val="0"/>
          <w:iCs w:val="0"/>
          <w:sz w:val="28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</w:rPr>
      </w:r>
    </w:p>
    <w:p>
      <w:pPr>
        <w:pStyle w:val="830"/>
        <w:ind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 w:val="0"/>
          <w:i w:val="0"/>
          <w:i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auto"/>
          <w:sz w:val="24"/>
          <w:szCs w:val="24"/>
        </w:rPr>
        <w:t xml:space="preserve">ОКПД2 42.91.20.190 Выполнение работ по ремонту гидротехнических сооружений Николаевской ТЭЦ, г.Николаевск-на-Амуре</w:t>
      </w:r>
      <w:r>
        <w:rPr>
          <w:rFonts w:ascii="Times New Roman" w:hAnsi="Times New Roman" w:eastAsia="Times New Roman" w:cs="Times New Roman"/>
          <w:b/>
          <w:bCs w:val="0"/>
          <w:i w:val="0"/>
          <w:iCs/>
          <w:color w:val="auto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 w:val="0"/>
          <w:i w:val="0"/>
          <w:iCs/>
          <w:color w:val="auto"/>
          <w:sz w:val="24"/>
          <w:szCs w:val="24"/>
        </w:rPr>
      </w:r>
    </w:p>
    <w:p>
      <w:pPr>
        <w:pStyle w:val="830"/>
        <w:jc w:val="center"/>
        <w:spacing w:before="0"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30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0"/>
        <w:jc w:val="center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ЛОТ №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11028008-РЕМ ПРОД-2026-ДГК-НТЭЦ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83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</w:pPr>
      <w:r/>
      <w:r/>
    </w:p>
    <w:p>
      <w:pPr>
        <w:pStyle w:val="830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</w:p>
    <w:p>
      <w:pPr>
        <w:pStyle w:val="830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</w:p>
    <w:p>
      <w:pPr>
        <w:pStyle w:val="830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3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22"/>
        <w:tblW w:w="974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56"/>
        <w:gridCol w:w="8329"/>
        <w:gridCol w:w="66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ru-RU" w:eastAsia="en-US" w:bidi="ar-SA"/>
              </w:rPr>
              <w:t xml:space="preserve">Общие 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Обозначения и сокращения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val="ru-RU" w:eastAsia="en-US" w:bidi="ar-SA"/>
              </w:rPr>
              <w:t xml:space="preserve">Наименование закупаемой продукции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Цель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1.4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Существующее 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85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ru-RU" w:eastAsia="en-US" w:bidi="ar-SA"/>
              </w:rPr>
              <w:t xml:space="preserve">            </w:t>
            </w:r>
            <w:r>
              <w:rPr>
                <w:rFonts w:ascii="Times New Roman" w:hAnsi="Times New Roman" w:eastAsia="Arial" w:cs="Times New Roman"/>
                <w:b/>
                <w:bCs/>
                <w:sz w:val="24"/>
                <w:szCs w:val="24"/>
                <w:lang w:val="ru-RU" w:eastAsia="en-US" w:bidi="ar-SA"/>
              </w:rPr>
              <w:t xml:space="preserve">Таблица 1. Перечень объектов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contextualSpacing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1.5.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ru-RU" w:eastAsia="en-US" w:bidi="ar-SA"/>
              </w:rPr>
              <w:t xml:space="preserve">Требования к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Требования к объемам и срокам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2.1.1.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Требования к видам и объемам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85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ru-RU" w:eastAsia="en-US" w:bidi="ar-SA"/>
              </w:rPr>
              <w:t xml:space="preserve">        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   </w:t>
            </w:r>
            <w:r>
              <w:rPr>
                <w:rFonts w:ascii="Times New Roman" w:hAnsi="Times New Roman" w:eastAsia="Arial" w:cs="Times New Roman"/>
                <w:b/>
                <w:bCs/>
                <w:sz w:val="24"/>
                <w:szCs w:val="24"/>
                <w:lang w:val="ru-RU" w:eastAsia="en-US" w:bidi="ar-SA"/>
              </w:rPr>
              <w:t xml:space="preserve">Таблица 2. Перечень и объем выполняемых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2.1.2.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Требования к срокам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85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bCs/>
                <w:sz w:val="24"/>
                <w:szCs w:val="24"/>
                <w:lang w:val="ru-RU" w:eastAsia="en-US" w:bidi="ar-SA"/>
              </w:rPr>
              <w:t xml:space="preserve">        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   </w:t>
            </w:r>
            <w:r>
              <w:rPr>
                <w:rFonts w:ascii="Times New Roman" w:hAnsi="Times New Roman" w:eastAsia="Arial" w:cs="Times New Roman"/>
                <w:b/>
                <w:bCs/>
                <w:sz w:val="24"/>
                <w:szCs w:val="24"/>
                <w:lang w:val="ru-RU" w:eastAsia="en-US" w:bidi="ar-SA"/>
              </w:rPr>
              <w:t xml:space="preserve">Таблица 3. Требования к срокам выполнения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Требования к качеству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85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ru-RU" w:eastAsia="en-US" w:bidi="ar-SA"/>
              </w:rPr>
              <w:t xml:space="preserve">        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    </w:t>
            </w:r>
            <w:r>
              <w:rPr>
                <w:rFonts w:ascii="Times New Roman" w:hAnsi="Times New Roman" w:eastAsia="Arial" w:cs="Times New Roman"/>
                <w:b/>
                <w:bCs/>
                <w:sz w:val="24"/>
                <w:szCs w:val="24"/>
                <w:lang w:val="ru-RU" w:eastAsia="en-US" w:bidi="ar-SA"/>
              </w:rPr>
              <w:t xml:space="preserve">Таблица 4. Требования к качеству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ru-RU" w:eastAsia="en-US" w:bidi="ar-SA"/>
              </w:rPr>
              <w:t xml:space="preserve">Требования к документации по ценообразованию на этапе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ru-RU" w:eastAsia="en-US" w:bidi="ar-SA"/>
              </w:rPr>
              <w:t xml:space="preserve">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ru-RU" w:eastAsia="en-US" w:bidi="ar-SA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83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6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ru-RU" w:eastAsia="en-US" w:bidi="ar-SA"/>
              </w:rPr>
              <w:t xml:space="preserve">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29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b/>
                <w:sz w:val="24"/>
                <w:szCs w:val="24"/>
                <w:lang w:val="ru-RU" w:eastAsia="en-US" w:bidi="ar-SA"/>
              </w:rPr>
              <w:t xml:space="preserve">Список приложений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ru-RU" w:eastAsia="en-US" w:bidi="ar-SA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0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0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0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0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0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0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0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0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30"/>
        <w:spacing w:line="240" w:lineRule="auto"/>
        <w:tabs>
          <w:tab w:val="clear" w:pos="708" w:leader="none"/>
          <w:tab w:val="left" w:pos="4253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13"/>
        <w:numPr>
          <w:ilvl w:val="0"/>
          <w:numId w:val="1"/>
        </w:numPr>
        <w:ind w:left="0" w:right="0" w:firstLine="850"/>
        <w:keepNext/>
        <w:spacing w:line="36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ОБЩИЕ СВЕДЕНИЯ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34"/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pPr>
      <w:r/>
      <w:bookmarkStart w:id="0" w:name="undefined"/>
      <w:r/>
      <w:bookmarkEnd w:id="0"/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  <w:t xml:space="preserve">1.1. Обозначения и сокращения</w:t>
      </w:r>
      <w:bookmarkStart w:id="1" w:name="undefined_Копия_1"/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</w:p>
    <w:tbl>
      <w:tblPr>
        <w:tblW w:w="978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7"/>
      </w:tblGrid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ТТ</w:t>
            </w:r>
            <w:r>
              <w:rPr>
                <w:rFonts w:ascii="Times New Roman" w:hAnsi="Times New Roman" w:cs="Times New Roman"/>
                <w:b w:val="0"/>
                <w:bCs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Технические требования</w:t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НТД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Нормативно-техническая документация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СП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Свод правил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МДС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методические документы в строительстве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ВСН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Ведомственные строительные нормы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СТО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Стандарт организации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РД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Рабочая документация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СНиП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Строительные нормы и правила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СО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Стандарт организации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ППР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Проект производства работ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ПС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830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t xml:space="preserve">Подъемные сооружения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</w:r>
          </w:p>
        </w:tc>
      </w:tr>
    </w:tbl>
    <w:p>
      <w:pPr>
        <w:pStyle w:val="83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30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30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</w:p>
    <w:p>
      <w:pPr>
        <w:pStyle w:val="830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</w:p>
    <w:p>
      <w:pPr>
        <w:pStyle w:val="830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</w:p>
    <w:p>
      <w:pPr>
        <w:pStyle w:val="830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</w:p>
    <w:p>
      <w:pPr>
        <w:pStyle w:val="830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</w:p>
    <w:p>
      <w:pPr>
        <w:pStyle w:val="830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</w:p>
    <w:p>
      <w:pPr>
        <w:pStyle w:val="830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</w:p>
    <w:p>
      <w:pPr>
        <w:pStyle w:val="830"/>
        <w:ind w:left="0" w:right="0" w:firstLine="0"/>
        <w:jc w:val="left"/>
        <w:keepNext/>
        <w:spacing w:before="0" w:after="142" w:afterAutospacing="0" w:line="283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1.2. Наименование закупаемой продукции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</w:t>
        <w:tab/>
        <w:t xml:space="preserve">ОКПД2 42.91.20.190 Выполнение работ по ремонту гидротехнических сооружений Николаевской ТЭЦ, г.Николаевск-на-Амуре.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30"/>
        <w:ind w:left="0" w:firstLine="0"/>
        <w:jc w:val="left"/>
        <w:keepLines/>
        <w:keepNext/>
        <w:spacing w:before="0" w:after="142" w:line="57" w:lineRule="atLeast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1.3. Цель выполнения работ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pStyle w:val="913"/>
        <w:contextualSpacing/>
        <w:ind w:left="0" w:firstLine="850"/>
        <w:jc w:val="left"/>
        <w:keepLines/>
        <w:keepNext/>
        <w:spacing w:before="0" w:after="142" w:line="57" w:lineRule="atLeast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  <w:u w:val="none"/>
        </w:rPr>
        <w:t xml:space="preserve">Приведение гидротехнических сооружений Николаевской ТЭЦ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  <w:highlight w:val="white"/>
          <w:u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strike w:val="0"/>
          <w:sz w:val="24"/>
          <w:szCs w:val="24"/>
          <w:highlight w:val="white"/>
        </w:rPr>
        <w:t xml:space="preserve">в исправное нормативно-техническое состояние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  <w:u w:val="none"/>
        </w:rPr>
        <w:t xml:space="preserve">, с целью повышения их эксплутационных 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  <w:highlight w:val="white"/>
          <w:u w:val="none"/>
        </w:rPr>
        <w:t xml:space="preserve">характеристик.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834"/>
        <w:ind w:left="0" w:firstLine="0"/>
        <w:jc w:val="left"/>
        <w:spacing w:before="320" w:after="200"/>
        <w:rPr>
          <w:rFonts w:ascii="Times New Roman" w:hAnsi="Times New Roman" w:cs="Times New Roman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1.4. Существующее положение</w:t>
      </w:r>
      <w:r>
        <w:rPr>
          <w:rFonts w:ascii="Times New Roman" w:hAnsi="Times New Roman" w:cs="Times New Roman"/>
          <w:highlight w:val="white"/>
          <w14:ligatures w14:val="none"/>
        </w:rPr>
      </w:r>
      <w:r>
        <w:rPr>
          <w:rFonts w:ascii="Times New Roman" w:hAnsi="Times New Roman" w:cs="Times New Roman"/>
          <w:highlight w:val="white"/>
          <w14:ligatures w14:val="none"/>
        </w:rPr>
      </w:r>
    </w:p>
    <w:p>
      <w:pPr>
        <w:pStyle w:val="830"/>
        <w:ind w:left="0" w:firstLine="0"/>
        <w:jc w:val="left"/>
        <w:spacing w:before="120" w:after="120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  <w:t xml:space="preserve">«Николаевская ТЭЦ» – структурное подразделение АО «Дальневосточная генериру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ющая компания» (АО «ДГК»), входящее в Группу РусГидро, действует на территории г. Николаевска-на-Амуре. Основные виды деятельности – производство электрической и тепловой энергии, транспортировка и реализация тепловой энергии населению и юридическим лицам.</w:t>
      </w:r>
      <w:r>
        <w:rPr>
          <w:rFonts w:ascii="Times New Roman" w:hAnsi="Times New Roman" w:cs="Times New Roman"/>
          <w:highlight w:val="white"/>
          <w14:ligatures w14:val="none"/>
        </w:rPr>
      </w:r>
      <w:r>
        <w:rPr>
          <w:rFonts w:ascii="Times New Roman" w:hAnsi="Times New Roman" w:cs="Times New Roman"/>
          <w:highlight w:val="white"/>
          <w14:ligatures w14:val="none"/>
        </w:rPr>
      </w:r>
    </w:p>
    <w:p>
      <w:pPr>
        <w:pStyle w:val="830"/>
        <w:ind w:left="0" w:firstLine="0"/>
        <w:jc w:val="left"/>
        <w:spacing w:before="120" w:after="120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  <w:t xml:space="preserve">Николаевская ТЭЦ представляет собой тепловую электростанцию с комбинированной выработкой электроэнергии и тепла. </w:t>
      </w:r>
      <w:r>
        <w:rPr>
          <w:rFonts w:ascii="Times New Roman" w:hAnsi="Times New Roman" w:cs="Times New Roman"/>
          <w:highlight w:val="white"/>
          <w14:ligatures w14:val="none"/>
        </w:rPr>
      </w:r>
      <w:r>
        <w:rPr>
          <w:rFonts w:ascii="Times New Roman" w:hAnsi="Times New Roman" w:cs="Times New Roman"/>
          <w:highlight w:val="white"/>
          <w14:ligatures w14:val="none"/>
        </w:rPr>
      </w:r>
    </w:p>
    <w:p>
      <w:pPr>
        <w:pStyle w:val="831"/>
        <w:contextualSpacing/>
        <w:ind w:firstLine="850"/>
        <w:spacing w:before="240" w:after="200" w:line="240" w:lineRule="auto"/>
        <w:rPr>
          <w:rFonts w:ascii="Times New Roman" w:hAnsi="Times New Roman" w:cs="Times New Roman"/>
          <w:sz w:val="24"/>
          <w:szCs w:val="24"/>
        </w:rPr>
      </w:pPr>
      <w:r/>
      <w:bookmarkEnd w:id="1"/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Таблица 1.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объектов заказчика</w:t>
      </w:r>
      <w:bookmarkStart w:id="2" w:name="undefined_Копия_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121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57"/>
        <w:gridCol w:w="4677"/>
        <w:gridCol w:w="4887"/>
      </w:tblGrid>
      <w:tr>
        <w:tblPrEx/>
        <w:trPr>
          <w:trHeight w:val="6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7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7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7" w:type="dxa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7" w:type="dxa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0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7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keepLines/>
              <w:keepNext/>
              <w:spacing w:before="0" w:after="20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Береговая насосная станция (Инв.№00000000000000011248)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830"/>
              <w:contextualSpacing/>
              <w:keepLines/>
              <w:keepNext/>
              <w:spacing w:before="0" w:after="20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87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 «Николаевская ТЭЦ», 682469, Хабаровский край,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0"/>
              <w:contextualSpacing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Николаевск на 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уре, ул. Невельского, 24 (на берегу реки Амур)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pStyle w:val="834"/>
        <w:contextualSpacing/>
        <w:ind w:firstLine="850"/>
        <w:spacing w:before="320" w:after="20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1.5.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bookmarkStart w:id="3" w:name="undefined_Копия_3"/>
      <w:r/>
      <w:bookmarkEnd w:id="2"/>
      <w:r/>
      <w:bookmarkEnd w:id="3"/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Информация в отношении исполнения договора, </w:t>
      </w:r>
      <w:bookmarkStart w:id="4" w:name="undefined_Копия_4"/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которая должна быть учтена при подготовке заявки </w:t>
      </w:r>
      <w:bookmarkEnd w:id="4"/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4"/>
        <w:contextualSpacing/>
        <w:ind w:firstLine="850"/>
        <w:spacing w:before="320" w:after="20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0"/>
        <w:contextualSpacing/>
        <w:ind w:firstLine="850"/>
        <w:keepLines/>
        <w:keepNext/>
        <w:spacing w:before="0" w:after="20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 Требования к продукции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0"/>
        <w:contextualSpacing/>
        <w:ind w:firstLine="850"/>
        <w:keepLines/>
        <w:keepNext/>
        <w:spacing w:before="0" w:after="20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2.1.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объемам и срокам выполнения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3"/>
        <w:contextualSpacing/>
        <w:ind w:firstLine="850"/>
        <w:spacing w:before="320" w:after="20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2.1.1.</w:t>
      </w:r>
      <w:bookmarkStart w:id="5" w:name="undefined_Копия_5"/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Требования к видам и объемам работ</w:t>
      </w:r>
      <w:bookmarkEnd w:id="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0"/>
        <w:contextualSpacing/>
        <w:ind w:firstLine="850"/>
        <w:keepLines/>
        <w:keepNext/>
        <w:spacing w:before="0" w:after="20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Таблица 2.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Перечень и объем выполняемых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22"/>
        <w:tblW w:w="10064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3826"/>
        <w:gridCol w:w="2976"/>
        <w:gridCol w:w="2552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26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Наименование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Кол -во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826" w:type="dxa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905"/>
        </w:trPr>
        <w:tc>
          <w:tcPr>
            <w:tcW w:w="709" w:type="dxa"/>
            <w:textDirection w:val="lrTb"/>
            <w:noWrap w:val="false"/>
          </w:tcPr>
          <w:p>
            <w:pPr>
              <w:pStyle w:val="830"/>
              <w:contextualSpacing/>
              <w:jc w:val="left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26" w:type="dxa"/>
            <w:textDirection w:val="lrTb"/>
            <w:noWrap w:val="false"/>
          </w:tcPr>
          <w:p>
            <w:pPr>
              <w:pStyle w:val="830"/>
              <w:contextualSpacing/>
              <w:jc w:val="left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ОКПД2 42.91.20.190 Выполнение работ по ремонту гидротехнических сооружений Николаевской ТЭЦ, г.Николаевск-на-Амуре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5528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jc w:val="left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В соответствии с ведомостью объемов работ (Приложение №1 к настоящим Техническим требованиям)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pStyle w:val="830"/>
        <w:contextualSpacing/>
        <w:ind w:firstLine="850"/>
        <w:keepLines/>
        <w:keepNext/>
        <w:spacing w:before="0" w:after="20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850"/>
        <w:keepLines/>
        <w:keepNext/>
        <w:spacing w:before="0" w:after="20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30"/>
        <w:contextualSpacing/>
        <w:ind w:firstLine="850"/>
        <w:keepLines/>
        <w:keepNext/>
        <w:spacing w:before="0" w:after="20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2.1.2.</w:t>
        <w:tab/>
        <w:t xml:space="preserve">Требования к срокам выполнения работ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30"/>
        <w:contextualSpacing/>
        <w:ind w:firstLine="850"/>
        <w:keepLines/>
        <w:keepNext/>
        <w:spacing w:before="0" w:after="20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0"/>
        <w:contextualSpacing/>
        <w:ind w:firstLine="850"/>
        <w:keepLines/>
        <w:keepNext/>
        <w:spacing w:before="0" w:after="20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3. </w:t>
      </w:r>
      <w:r>
        <w:rPr>
          <w:rFonts w:ascii="Times New Roman" w:hAnsi="Times New Roman" w:cs="Times New Roman"/>
          <w:sz w:val="24"/>
          <w:szCs w:val="24"/>
        </w:rPr>
        <w:t xml:space="preserve">Требования к срокам выполнения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tbl>
      <w:tblPr>
        <w:tblStyle w:val="922"/>
        <w:tblW w:w="10064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8"/>
        <w:gridCol w:w="4536"/>
        <w:gridCol w:w="2409"/>
        <w:gridCol w:w="2410"/>
      </w:tblGrid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Наименование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Требования к началу срока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Требования к окончанию срока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830"/>
              <w:contextualSpacing/>
              <w:jc w:val="center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1126"/>
        </w:trPr>
        <w:tc>
          <w:tcPr>
            <w:tcW w:w="708" w:type="dxa"/>
            <w:textDirection w:val="lrTb"/>
            <w:noWrap w:val="false"/>
          </w:tcPr>
          <w:p>
            <w:pPr>
              <w:pStyle w:val="830"/>
              <w:contextualSpacing/>
              <w:jc w:val="left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pStyle w:val="830"/>
              <w:contextualSpacing/>
              <w:jc w:val="left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ОКПД2 42.91.20.190 Выполнение работ по ремонту гидротехнических сооружений Николаевской ТЭЦ, г.Николаевск-на-Амуре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ind w:left="0" w:right="0" w:firstLine="0"/>
              <w:jc w:val="left"/>
              <w:keepLines/>
              <w:spacing w:before="0" w:after="0" w:line="276" w:lineRule="auto"/>
              <w:shd w:val="clear" w:color="auto" w:fill="ffffff"/>
              <w:widowControl w:val="off"/>
              <w:tabs>
                <w:tab w:val="left" w:pos="0" w:leader="none"/>
                <w:tab w:val="clear" w:pos="708" w:leader="none"/>
              </w:tabs>
            </w:pPr>
            <w:r>
              <w:rPr>
                <w:rFonts w:ascii="Times New Roman" w:hAnsi="Times New Roman" w:eastAsia="Calibri" w:cs="Times New Roman"/>
                <w:sz w:val="24"/>
                <w:szCs w:val="24"/>
                <w:shd w:val="clear" w:color="auto" w:fill="auto"/>
                <w:lang w:val="ru-RU" w:eastAsia="en-US" w:bidi="ar-SA"/>
              </w:rPr>
              <w:t xml:space="preserve">с даты заключения договора;</w:t>
            </w:r>
            <w:r/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830"/>
              <w:contextualSpacing/>
              <w:ind w:left="0" w:right="0" w:firstLine="0"/>
              <w:jc w:val="left"/>
              <w:keepLines/>
              <w:spacing w:before="0" w:after="0" w:line="276" w:lineRule="auto"/>
              <w:shd w:val="clear" w:color="auto" w:fill="ffffff"/>
              <w:widowControl w:val="off"/>
              <w:tabs>
                <w:tab w:val="left" w:pos="0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shd w:val="clear" w:color="auto" w:fill="auto"/>
                <w:lang w:val="ru-RU" w:eastAsia="en-US" w:bidi="ar-SA"/>
              </w:rPr>
              <w:t xml:space="preserve">в</w:t>
            </w:r>
            <w:r>
              <w:rPr>
                <w:rFonts w:ascii="Times New Roman" w:hAnsi="Times New Roman" w:eastAsia="Arial" w:cs="Times New Roman"/>
                <w:sz w:val="24"/>
                <w:szCs w:val="24"/>
                <w:highlight w:val="white"/>
                <w:shd w:val="clear" w:color="auto" w:fill="auto"/>
                <w:lang w:val="ru-RU" w:eastAsia="en-US" w:bidi="ar-SA"/>
              </w:rPr>
              <w:t xml:space="preserve"> течении 17 (</w:t>
            </w:r>
            <w:r>
              <w:rPr>
                <w:rFonts w:ascii="Times New Roman" w:hAnsi="Times New Roman" w:eastAsia="Arial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семнадцати) месяцев с даты заключения договора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sectPr>
          <w:headerReference w:type="first" r:id="rId9"/>
          <w:footerReference w:type="default" r:id="rId14"/>
          <w:footerReference w:type="first" r:id="rId15"/>
          <w:footnotePr/>
          <w:endnotePr/>
          <w:type w:val="nextPage"/>
          <w:pgSz w:w="11906" w:h="16838" w:orient="portrait"/>
          <w:pgMar w:top="820" w:right="709" w:bottom="766" w:left="1134" w:header="709" w:footer="709" w:gutter="0"/>
          <w:pgNumType w:start="1"/>
          <w:cols w:num="1" w:sep="0" w:space="1701" w:equalWidth="1"/>
          <w:docGrid w:linePitch="360"/>
          <w:titlePg/>
        </w:sectPr>
      </w:pPr>
      <w:r/>
      <w:r/>
    </w:p>
    <w:p>
      <w:pPr>
        <w:pStyle w:val="830"/>
        <w:spacing w:before="0" w:after="0" w:afterAutospacing="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2.2.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качеству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0"/>
        <w:spacing w:before="0" w:after="0" w:afterAutospacing="0"/>
        <w:tabs>
          <w:tab w:val="clear" w:pos="708" w:leader="none"/>
          <w:tab w:val="left" w:pos="3002" w:leader="none"/>
        </w:tabs>
        <w:rPr>
          <w:b/>
          <w:bCs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Таблица 4.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Требования к качеству работ: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en-US" w:bidi="ar-SA"/>
        </w:rPr>
        <w:t xml:space="preserve">ОКПД2 42.91.20.190 Выполнение работ по ремонту гидротехнических сооружений Николаевской ТЭЦ, г.Николаевск-на-Амуре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Style w:val="922"/>
        <w:tblW w:w="15961" w:type="dxa"/>
        <w:tblInd w:w="-34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37"/>
        <w:gridCol w:w="1984"/>
        <w:gridCol w:w="10063"/>
        <w:gridCol w:w="2"/>
        <w:gridCol w:w="1558"/>
        <w:gridCol w:w="1617"/>
      </w:tblGrid>
      <w:tr>
        <w:tblPrEx/>
        <w:trPr>
          <w:trHeight w:val="241"/>
        </w:trPr>
        <w:tc>
          <w:tcPr>
            <w:tcW w:w="737" w:type="dxa"/>
            <w:vAlign w:val="center"/>
            <w:vMerge w:val="restart"/>
            <w:textDirection w:val="lrTb"/>
            <w:noWrap w:val="false"/>
          </w:tcPr>
          <w:p>
            <w:pPr>
              <w:pStyle w:val="83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83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83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0"/>
                <w:szCs w:val="20"/>
                <w:lang w:val="ru-RU" w:eastAsia="en-US" w:bidi="ar-SA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pStyle w:val="83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0"/>
                <w:szCs w:val="20"/>
                <w:lang w:val="ru-RU" w:eastAsia="en-US" w:bidi="ar-SA"/>
              </w:rPr>
              <w:t xml:space="preserve">Требование заказчика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gridSpan w:val="3"/>
            <w:tcW w:w="3177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0"/>
                <w:szCs w:val="20"/>
                <w:lang w:val="ru-RU" w:eastAsia="en-US" w:bidi="ar-SA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737" w:type="dxa"/>
            <w:vAlign w:val="center"/>
            <w:vMerge w:val="continue"/>
            <w:textDirection w:val="lrTb"/>
            <w:noWrap w:val="false"/>
          </w:tcPr>
          <w:p>
            <w:pPr>
              <w:pStyle w:val="830"/>
              <w:jc w:val="left"/>
              <w:spacing w:before="0" w:after="0" w:line="240" w:lineRule="auto"/>
              <w:widowControl w:val="off"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pStyle w:val="830"/>
              <w:jc w:val="left"/>
              <w:spacing w:before="0" w:after="0" w:line="240" w:lineRule="auto"/>
              <w:widowControl w:val="off"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063" w:type="dxa"/>
            <w:vAlign w:val="center"/>
            <w:vMerge w:val="continue"/>
            <w:textDirection w:val="lrTb"/>
            <w:noWrap w:val="false"/>
          </w:tcPr>
          <w:p>
            <w:pPr>
              <w:pStyle w:val="830"/>
              <w:jc w:val="left"/>
              <w:spacing w:before="0" w:after="0" w:line="240" w:lineRule="auto"/>
              <w:widowControl w:val="off"/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  <w:r>
              <w:rPr>
                <w:rFonts w:ascii="Arial" w:hAnsi="Arial" w:eastAsia="Arial" w:cs="Arial"/>
                <w:sz w:val="22"/>
                <w:szCs w:val="22"/>
                <w:lang w:val="ru-RU" w:eastAsia="en-US" w:bidi="ar-SA"/>
              </w:rPr>
            </w:r>
          </w:p>
        </w:tc>
        <w:tc>
          <w:tcPr>
            <w:gridSpan w:val="2"/>
            <w:tcW w:w="1560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0"/>
                <w:szCs w:val="20"/>
                <w:lang w:val="ru-RU" w:eastAsia="en-US" w:bidi="ar-SA"/>
              </w:rPr>
              <w:t xml:space="preserve">Согласие с требованием/ указание характеристик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617" w:type="dxa"/>
            <w:vAlign w:val="center"/>
            <w:textDirection w:val="lrTb"/>
            <w:noWrap w:val="false"/>
          </w:tcPr>
          <w:p>
            <w:pPr>
              <w:pStyle w:val="83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0"/>
                <w:szCs w:val="20"/>
                <w:lang w:val="ru-RU" w:eastAsia="en-US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170"/>
        </w:trPr>
        <w:tc>
          <w:tcPr>
            <w:tcW w:w="737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  <w14:ligatures w14:val="none"/>
              </w:rPr>
            </w:pPr>
            <w:r>
              <w:rPr>
                <w:rFonts w:ascii="Times New Roman" w:hAnsi="Times New Roman" w:eastAsia="Arial" w:cs="Times New Roman"/>
                <w:sz w:val="20"/>
                <w:szCs w:val="20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14:ligatures w14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0"/>
                <w:szCs w:val="20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0"/>
                <w:szCs w:val="20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W w:w="1560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0"/>
                <w:szCs w:val="20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0"/>
                <w:szCs w:val="20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913"/>
              <w:numPr>
                <w:ilvl w:val="0"/>
                <w:numId w:val="2"/>
              </w:numPr>
              <w:contextualSpacing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2047" w:type="dxa"/>
            <w:textDirection w:val="lrTb"/>
            <w:noWrap w:val="false"/>
          </w:tcPr>
          <w:p>
            <w:pPr>
              <w:pStyle w:val="830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Требования к выполнению работ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560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54"/>
        </w:trPr>
        <w:tc>
          <w:tcPr>
            <w:tcW w:w="737" w:type="dxa"/>
            <w:textDirection w:val="lrTb"/>
            <w:noWrap w:val="false"/>
          </w:tcPr>
          <w:p>
            <w:pPr>
              <w:pStyle w:val="913"/>
              <w:numPr>
                <w:ilvl w:val="1"/>
                <w:numId w:val="2"/>
              </w:numPr>
              <w:contextualSpacing/>
              <w:ind w:left="-117" w:firstLine="14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2047" w:type="dxa"/>
            <w:textDirection w:val="lrTb"/>
            <w:noWrap w:val="false"/>
          </w:tcPr>
          <w:p>
            <w:pPr>
              <w:pStyle w:val="830"/>
              <w:jc w:val="left"/>
              <w:spacing w:before="60" w:after="6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Общие требования к выполнению работ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560" w:type="dxa"/>
            <w:textDirection w:val="lrTb"/>
            <w:noWrap w:val="false"/>
          </w:tcPr>
          <w:p>
            <w:pPr>
              <w:pStyle w:val="830"/>
              <w:jc w:val="center"/>
              <w:spacing w:before="6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jc w:val="center"/>
              <w:spacing w:before="6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913"/>
              <w:numPr>
                <w:ilvl w:val="2"/>
                <w:numId w:val="2"/>
              </w:numPr>
              <w:contextualSpacing/>
              <w:ind w:left="0" w:hanging="1199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0063" w:type="dxa"/>
            <w:textDirection w:val="lrTb"/>
            <w:noWrap w:val="false"/>
          </w:tcPr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  <w:highlight w:val="none"/>
              </w:rPr>
            </w:r>
          </w:p>
          <w:p>
            <w:pPr>
              <w:pStyle w:val="913"/>
              <w:numPr>
                <w:ilvl w:val="0"/>
                <w:numId w:val="13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  <w:szCs w:val="22"/>
                <w:highlight w:val="white"/>
                <w:lang w:val="ru-RU" w:eastAsia="en-US" w:bidi="ar-SA"/>
              </w:rPr>
              <w:t xml:space="preserve">Федеральный закон от 21.07.1997 № 117-ФЗ (ред. от 08.08.2024) "О безопасности гидротехнических сооружений" ;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3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  <w:szCs w:val="22"/>
                <w:highlight w:val="white"/>
                <w:lang w:val="ru-RU" w:eastAsia="en-US" w:bidi="ar-SA"/>
              </w:rPr>
              <w:t xml:space="preserve">СП 58.13330.2019. Свод правил. Гидротехнические сооружения. Основные положения. СНиП 33-01-2003"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3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Правила организации технического обслуживания и ремонта объектов электроэнергетики, утв. Приказом Минэнерго России от 25.10.2017 № 1013;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3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  <w:szCs w:val="22"/>
                <w:highlight w:val="white"/>
                <w:lang w:val="ru-RU" w:eastAsia="en-US" w:bidi="ar-SA"/>
              </w:rPr>
              <w:t xml:space="preserve">Приказ Ростех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  <w:szCs w:val="22"/>
                <w:highlight w:val="white"/>
                <w:lang w:val="ru-RU" w:eastAsia="en-US" w:bidi="ar-SA"/>
              </w:rPr>
              <w:t xml:space="preserve">надзора от 08.05.2024 № 151 "Об утверждении федеральных норм и правил в области безопасности гидротехнических сооружений "Требования к обеспечению безопасности гидротехнических сооружений (за исключением судоходных и портовых гидротехнических сооружений)";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3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21-003-2019  «Положение об организации контроля и приемке выполненных работ на ремонтируемых объектах, объектах модернизации, реконструкции и технического перевооружения»;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3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  <w:szCs w:val="22"/>
                <w:highlight w:val="white"/>
                <w:lang w:val="ru-RU" w:eastAsia="en-US" w:bidi="ar-SA"/>
              </w:rPr>
              <w:t xml:space="preserve">СП 70.13330.2012. Свод правил. Несущие и ограждающие конструкции. Актуализированная редакция СНиП 3.03.01-87";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3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2"/>
                <w:szCs w:val="22"/>
                <w:lang w:val="ru-RU" w:eastAsia="en-US" w:bidi="ar-SA"/>
              </w:rPr>
              <w:t xml:space="preserve">РД 31.84.01-90 Единые правила безопасности труда на водолазных работах;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13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СП 31.13330.2021 «Водоснабжение. Наружные сети и сооружения»;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13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СНиП 3.07.02-87 «Гидротехнические морские и речные транспортные сооружения»;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13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ВСН 214-89 Сборник инструкций по защите коррозий;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13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СТО 17330282.27.100.006-2008 «Ремонт и техобслуживание оборудования, зданий и сооружений электрических станций и сетей. Условия выполнения работ подрядными организациями, нормы и требования»;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highlight w:val="white"/>
              </w:rPr>
            </w:r>
          </w:p>
          <w:p>
            <w:pPr>
              <w:pStyle w:val="913"/>
              <w:contextualSpacing/>
              <w:ind w:left="0" w:right="0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lang w:val="ru-RU" w:eastAsia="en-US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1560" w:type="dxa"/>
            <w:textDirection w:val="lrTb"/>
            <w:noWrap w:val="false"/>
          </w:tcPr>
          <w:p>
            <w:pPr>
              <w:pStyle w:val="830"/>
              <w:ind w:lef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none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highlight w:val="non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sz w:val="22"/>
                <w:szCs w:val="22"/>
                <w:lang w:val="ru-RU" w:eastAsia="en-US" w:bidi="ar-SA"/>
              </w:rPr>
              <w:t xml:space="preserve">1.2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204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Требования к организации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560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992"/>
        </w:trPr>
        <w:tc>
          <w:tcPr>
            <w:tcW w:w="73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sz w:val="22"/>
                <w:szCs w:val="22"/>
                <w:lang w:val="ru-RU" w:eastAsia="en-US" w:bidi="ar-SA"/>
              </w:rPr>
              <w:t xml:space="preserve">1.2.1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Требования к организации процесса выполнения работ: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Комплекс организационно–технических мероприя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 и отремонтированных объектов, оптимальное расходование материально-технических и трудовых р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есурсов. Подрядчик разрабатывает проект производства работ, планы подготовки к ремонту в соответствии с планами производственных объектов, принятыми к исполнению объемами работ и согласованным участием в материально–техническом обеспечении ремонтных работ.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Изменения объемов работ, предусмотренных ведомостью планируемых работ, оформляются в соответс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твии с требованиями Правил ТОиР (ведомостью дополнительных работ по ремонту и протоколом исключения работ из ведомости планируемых работ по ремонту), согласовываются с Подрядчиком и утверждаются техническим руководителем структурного подразделения, ответст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До начала ремонта Подрядчик: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  <w:p>
            <w:pPr>
              <w:pStyle w:val="830"/>
              <w:numPr>
                <w:ilvl w:val="0"/>
                <w:numId w:val="7"/>
              </w:numPr>
              <w:ind w:left="0" w:right="0" w:firstLine="142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разрабатывает и согласовывает с Заказчиком Проект производства работ (ППР), с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  <w:u w:val="none"/>
                <w:lang w:val="ru-RU" w:eastAsia="en-US" w:bidi="ar-SA"/>
              </w:rPr>
              <w:t xml:space="preserve">указанием методов и технологии выполнения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  <w:lang w:val="ru-RU" w:eastAsia="en-US" w:bidi="ar-SA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  <w:u w:val="none"/>
                <w:lang w:val="ru-RU" w:eastAsia="en-US" w:bidi="ar-SA"/>
              </w:rPr>
              <w:t xml:space="preserve">работ и организационных вопросов, а также мероприятий по технике безопасности и охране труда.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</w:p>
          <w:p>
            <w:pPr>
              <w:pStyle w:val="830"/>
              <w:numPr>
                <w:ilvl w:val="0"/>
                <w:numId w:val="7"/>
              </w:numPr>
              <w:ind w:left="0" w:right="0" w:firstLine="142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проводят проверку выполнения подготовительных работ в соответствии с планом подготовки к ремонту.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</w:p>
          <w:p>
            <w:pPr>
              <w:pStyle w:val="830"/>
              <w:numPr>
                <w:ilvl w:val="0"/>
                <w:numId w:val="7"/>
              </w:numPr>
              <w:ind w:left="0" w:right="0" w:firstLine="142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определяет состав бригад (учас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тков) по ремонту отдельных узлов (систем, конструкций) по численности, квалификации и профессиям в соответствии с сетевым графиком ремонта. При этом должна быть обеспечена полная занятость рабочих в течение установленных графиком сроков производства работ;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  <w:p>
            <w:pPr>
              <w:pStyle w:val="830"/>
              <w:numPr>
                <w:ilvl w:val="0"/>
                <w:numId w:val="7"/>
              </w:numPr>
              <w:ind w:left="0" w:right="0" w:firstLine="142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назначает руководителей работ в соответствии с номенклатурой и объемом работ, принятым по договору;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  <w:p>
            <w:pPr>
              <w:pStyle w:val="830"/>
              <w:numPr>
                <w:ilvl w:val="0"/>
                <w:numId w:val="7"/>
              </w:numPr>
              <w:ind w:left="0" w:right="0" w:firstLine="142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  <w:p>
            <w:pPr>
              <w:pStyle w:val="830"/>
              <w:numPr>
                <w:ilvl w:val="0"/>
                <w:numId w:val="7"/>
              </w:numPr>
              <w:ind w:left="0" w:right="0" w:firstLine="142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i/>
                <w:iCs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проверяет выполнение требований допуска ремонтного и командированного персонала, предусмотренного п. 1.2.2 ТТ</w:t>
            </w:r>
            <w:r>
              <w:rPr>
                <w:rFonts w:ascii="Times New Roman" w:hAnsi="Times New Roman" w:cs="Times New Roman"/>
                <w:i/>
                <w:iCs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iCs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Применяемые при работах механизмы и грузоподъемны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е машины (в соответствии с разрабатываемым Подрядчиком ППР), приспособления и инструмент должны быть испытаны и эксплуатироваться в соответствии с требованиями стандартов безопасности труда, правил Ростехнадзора, а также инструкций заводов – изготовителей.</w:t>
            </w:r>
            <w:r>
              <w:rPr>
                <w:rFonts w:ascii="Times New Roman" w:hAnsi="Times New Roman" w:cs="Times New Roman"/>
                <w:i/>
                <w:iCs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numPr>
                <w:ilvl w:val="0"/>
                <w:numId w:val="7"/>
              </w:numPr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iCs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  <w:r>
              <w:rPr>
                <w:rFonts w:ascii="Times New Roman" w:hAnsi="Times New Roman" w:cs="Times New Roman"/>
                <w:i/>
                <w:iCs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highlight w:val="white"/>
                <w:lang w:val="ru-RU" w:eastAsia="en-US" w:bidi="ar-SA"/>
              </w:rPr>
              <w:t xml:space="preserve">Более подробно требования к организации работ указаны в проекте договора подряда (в том числе в разделе № 2), который включен в состав Документации о закупке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560" w:type="dxa"/>
            <w:vMerge w:val="restart"/>
            <w:textDirection w:val="lrTb"/>
            <w:noWrap w:val="false"/>
          </w:tcPr>
          <w:p>
            <w:pPr>
              <w:pStyle w:val="830"/>
              <w:ind w:lef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eastAsia="en-US" w:bidi="ar-SA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988"/>
        </w:trPr>
        <w:tc>
          <w:tcPr>
            <w:tcW w:w="73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sz w:val="22"/>
                <w:szCs w:val="22"/>
                <w:lang w:val="ru-RU" w:eastAsia="en-US" w:bidi="ar-SA"/>
              </w:rPr>
              <w:t xml:space="preserve">1.2.2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pStyle w:val="830"/>
              <w:ind w:left="0" w:firstLine="456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Допуск персонала подрядчика для выполнения работ должен осуществляться в соответствии с Положен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shd w:val="clear" w:color="auto" w:fill="auto"/>
                <w:lang w:val="ru-RU" w:eastAsia="en-US" w:bidi="ru-RU"/>
              </w:rPr>
              <w:t xml:space="preserve">ием о допуске персонала подрядных организаций к выполнению работ на объектах АО «ДГК» 22.1-504-2025(утверждено Приказом АО «ДГК» №П-ДГК/795 от 25.09.2025г.).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06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highlight w:val="white"/>
                <w:lang w:val="ru-RU" w:eastAsia="en-US" w:bidi="ar-SA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109"/>
        </w:trPr>
        <w:tc>
          <w:tcPr>
            <w:tcW w:w="73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sz w:val="22"/>
                <w:szCs w:val="22"/>
                <w:lang w:val="ru-RU" w:eastAsia="en-US" w:bidi="ar-SA"/>
              </w:rPr>
              <w:t xml:space="preserve">1.3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204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trike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Требо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highlight w:val="white"/>
                <w:lang w:val="ru-RU" w:eastAsia="en-US" w:bidi="ar-SA"/>
              </w:rPr>
              <w:t xml:space="preserve">вания к контролю качества материалов</w:t>
            </w:r>
            <w:r>
              <w:rPr>
                <w:rFonts w:ascii="Times New Roman" w:hAnsi="Times New Roman" w:cs="Times New Roman"/>
                <w:strike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trike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567"/>
        </w:trPr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sz w:val="22"/>
                <w:szCs w:val="22"/>
                <w:lang w:val="ru-RU" w:eastAsia="en-US" w:bidi="ar-SA"/>
              </w:rPr>
              <w:t xml:space="preserve">1.3.1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Требования к используемым материально – техническим ресурсам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Материалы, необходимые для выполнения работ приобретаются Подрядчиком самостоятельно согласно ведомости материалов Подрядчика (приложен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ие № 2  к настоящим ТТ).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Подрядчиком в работе могут быть применены эквивалентные материалы*, предварительно согласованные с Заказчиком.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В случае, если на этапе исполнения договора Подрядчиком, вместо материалов конкретных торговых знаков, марок и/или наименований, указанных в технической и сметн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ой документации,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06" w:leader="none"/>
                <w:tab w:val="clear" w:pos="708" w:leader="none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highlight w:val="white"/>
                <w:lang w:val="ru-RU" w:eastAsia="en-US" w:bidi="ar-SA"/>
              </w:rPr>
              <w:t xml:space="preserve">* 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 (приложение №2, 2.1)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2251"/>
        </w:trPr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sz w:val="22"/>
                <w:szCs w:val="22"/>
                <w:lang w:val="ru-RU" w:eastAsia="en-US" w:bidi="ar-SA"/>
              </w:rPr>
              <w:t xml:space="preserve">1.3.2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Контроль качества используемых материалов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Руководители работ подрядных организаций, совместно с представителями Заказчика, осуществляют входной контроль качества применяемых материалов.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Материалы Подрядчика должны иметь сертификаты, паспорта и другие документы, подтверждающие их качество.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При осуществлении Подрядчиком входного контроля качества материально-технических ресурсов, поступивших на место производства работ, обязательно нал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ичие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highlight w:val="white"/>
                <w:lang w:val="ru-RU" w:eastAsia="en-US" w:bidi="ar-SA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eastAsia="en-US" w:bidi="ar-SA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1984"/>
        </w:trPr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sz w:val="22"/>
                <w:szCs w:val="22"/>
                <w:lang w:val="ru-RU" w:eastAsia="en-US" w:bidi="ar-SA"/>
              </w:rPr>
              <w:t xml:space="preserve">1.3.3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Требования к применяемым при выполнении работ оборудованию, технологиям, программно-аппаратным средствам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trike w:val="0"/>
                <w:sz w:val="22"/>
                <w:szCs w:val="22"/>
                <w:highlight w:val="whit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Водолазная техника, должна отвечать требованиям безопасности, соответствовать характеру выполняемых работ и глубинам погружения (согласно  Приказа Минтруда России от 17.12.2020 № 922н).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4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Водолазная станция (не менее 1-й);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4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Основной источник подачи воздуха для дыхания (не менее 1-го);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4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Резервный источник подачи воздуха для дыхания (не менее 1-го);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4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Пульт подачи воздуха для дыхания при использовании снаряжения в шланговом варианте с кабель-шланговой связкой (не менее 1-го);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4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Средства связи с водолазом (не менее 1-го);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4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Средство измерения глубины в период работы под водой и средство регистрации времени работы с точностью до одной минуты (не менее 1-го);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4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 w:val="0"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Средство спуска и подъема водолазов (для работающего и страхующего водолаза) (не менее 1-го);</w:t>
            </w:r>
            <w:r>
              <w:rPr>
                <w:rFonts w:ascii="Times New Roman" w:hAnsi="Times New Roman" w:cs="Times New Roman"/>
                <w:i w:val="0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Для водолазов - не менее двух комплектов водолазного снаряжения для спуска, работающего и страхующего водолазов:</w:t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а) водолазный гидрокомбинезон, гидрокостюм или водолазная рубаха с комплектом нательного и (или) утепляющего белья, перчатками (рукавицами) и ботиками (носками);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б) шлем, полнолицевая или бенд-маска или полумаска в комплекте с редуктором и дыхательным автоматом (регуляторами 1 и 2 ступени);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в) баллон с основным и резервным запасом воздуха для дыхания при использовании снаряжения в автономном варианте;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г) грузовой пояс или грузовая система водолаза (грузы);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д) галоши и (или) ласты;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е) водолазный нож;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ж) сигнальный конец;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з) страховочная система (подвесная система), обеспечивающая подъем аварийного водолаза в вертикальном положении.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Специализированные подводные фото - видео комплексы, используемые при проведении обследования подводных конструкций гидротехнических сооружений должны обеспечивать: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5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непрерывность площадной (панорамной) видеосъемки всего участка обследуемой поверхности;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5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площадную (панорамную) фотосъемку дефектов и повреждений поверхности подводной конструкции, посторонних предметов, обнаруженных видеосъемкой;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5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ширину захвата фото- видеоизображения на маршруте не менее 2,5 м вне зависимости от прозрачности водной среды;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5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высокое качество фото документирования съемки;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5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линейные измерения обнаруженных деформаций и предметов при фотосъемке с точностью до 0,01 м (в плоскости фотографируемой поверхности);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5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ru-RU"/>
              </w:rPr>
              <w:t xml:space="preserve">запись видеоизображения в реальном времени на цифровой регистратор.</w:t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     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Требования к применяемым при выполнении работ оборудованию:</w:t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Техника должна находиться в собственности организации или на других законных основаниях;</w:t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6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В технику не вносятся изменения, которые могут повлиять на ее безопасную эксплуатацию ил привести к снижению установленных рабочих параметров;</w:t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6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Установлены периодичность и объем технического обслуживания и ремонта на всех этапах жизненного цикла;</w:t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6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Установлен порядок проведения рабочей проверки на месте проведения работ перед спусками или перед использованием техники;</w:t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6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Водолазная техника и оборудование должны храниться в условиях, предусмотренных инструкциями по эксплуатации, и подвергаться переодической очистке, дезинфекции и просушке.</w:t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Подробно техника и оборудование указаны в локально сметном расчете (приложение № 3.1, 3.2),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bCs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/>
                <w:strike w:val="0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42"/>
        </w:trPr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  <w:lang w:val="ru-RU" w:eastAsia="en-US" w:bidi="ar-SA"/>
              </w:rPr>
              <w:t xml:space="preserve">1.4.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  <w14:ligatures w14:val="none"/>
              </w:rPr>
            </w:r>
          </w:p>
        </w:tc>
        <w:tc>
          <w:tcPr>
            <w:gridSpan w:val="5"/>
            <w:tcW w:w="15224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Требования к контролю качества работ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2932"/>
        </w:trPr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>
              <w:rPr>
                <w:rFonts w:ascii="Times New Roman" w:hAnsi="Times New Roman" w:eastAsia="Arial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1.4.1.</w:t>
            </w:r>
            <w:r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r>
          </w:p>
        </w:tc>
        <w:tc>
          <w:tcPr>
            <w:gridSpan w:val="2"/>
            <w:tcW w:w="1204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В соответствии с законом № 184-ФЗ «О техническом регулировании» Подрядчик принимает на себя добровольное обязательство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о соблюдении требований правил, технических условий, ГОСТ, ПЭУ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Подводно-техническое обследование должно проводиться с охватом 100% подводной поверхности сооружений, т.е. без пропусков в пределах заданного участка при достоверности конечных результатов не ниже 95 % каждым применяемым методом.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830"/>
              <w:ind w:left="0" w:firstLine="214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Фото – и видеосъемка должна выполняться с помощью подводных специализированных комплексов или водолазами.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Руководители работ подрядных организаций, участвующие в производстве Работ совместно с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редставителями Заказчика,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eastAsia="en-US" w:bidi="ar-SA"/>
              </w:rPr>
              <w:t xml:space="preserve">Подробно указаны в проекте договора подряда (в том числе в разделе № 2),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1560" w:type="dxa"/>
            <w:vMerge w:val="restart"/>
            <w:textDirection w:val="lrTb"/>
            <w:noWrap w:val="false"/>
          </w:tcPr>
          <w:p>
            <w:pPr>
              <w:pStyle w:val="830"/>
              <w:ind w:lef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</w:r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1.5.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2"/>
            <w:tcW w:w="1204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highlight w:val="white"/>
                <w:lang w:val="ru-RU" w:eastAsia="en-US" w:bidi="ar-SA"/>
              </w:rPr>
              <w:t xml:space="preserve">Требования к персоналу подрядчика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  <w:lang w:val="ru-RU" w:eastAsia="en-US" w:bidi="ar-SA"/>
              </w:rPr>
            </w:r>
          </w:p>
          <w:p>
            <w:pPr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lang w:val="ru-RU" w:eastAsia="en-US" w:bidi="ar-SA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3260"/>
        </w:trPr>
        <w:tc>
          <w:tcPr>
            <w:tcW w:w="73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1.5.1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Квалификация персонала подрядчика, привлекаемого к выполнению работ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Подрядчик должен иметь минимально необходимое для выполнения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привлечению, в том числе по договорам субподряда).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До начала проведения работ в рамках исполнения договора после его заключения подрядчик предоставляет: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2"/>
              </w:numPr>
              <w:contextualSpacing/>
              <w:ind w:left="0" w:right="0" w:firstLine="142"/>
              <w:jc w:val="left"/>
              <w:spacing w:before="0" w:beforeAutospacing="0" w:after="0" w:afterAutospacing="0" w:line="240" w:lineRule="auto"/>
              <w:widowControl w:val="off"/>
              <w:tabs>
                <w:tab w:val="left" w:pos="142" w:leader="none"/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В соответствие с установленными правилами пропускного и внутриобъектового режима Заказчика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(Приложение № 5 настоящему ТТ)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, предварительно согласовать с Заказчиком пофамильные списки персонала, задействованного при производстве Работ.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1"/>
              </w:numPr>
              <w:contextualSpacing/>
              <w:ind w:left="0" w:right="0" w:firstLine="142"/>
              <w:jc w:val="left"/>
              <w:spacing w:before="0" w:beforeAutospacing="0" w:after="0" w:afterAutospacing="0" w:line="240" w:lineRule="auto"/>
              <w:widowControl w:val="off"/>
              <w:tabs>
                <w:tab w:val="left" w:pos="142" w:leader="none"/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Провести инструктаж персонала, задействованного при производстве Работ, обе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спечить соблюдение (в том числе указанным персоналом)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Заказчика).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  <w:tab w:val="clear" w:pos="708" w:leader="none"/>
                <w:tab w:val="left" w:pos="3685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Состав водолазного звена для выполнения работ по Договору должен быть не менее 4 (четырех) аттестованных водолазов,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ru-RU" w:bidi="ar-SA"/>
              </w:rPr>
              <w:t xml:space="preserve">в том числе в составе звена не менее 1 чел. со специализацией «водолаз-резчик-сварщик»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(согласно приказа Министерства труда от 17.12.2020 № 922н.)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sz w:val="22"/>
                <w:szCs w:val="22"/>
                <w:lang w:val="ru-RU" w:eastAsia="en-US" w:bidi="ar-SA"/>
              </w:rPr>
              <w:t xml:space="preserve">1.6.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204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highlight w:val="white"/>
                <w:lang w:val="ru-RU" w:eastAsia="en-US" w:bidi="ar-SA"/>
              </w:rPr>
              <w:t xml:space="preserve">Требования к безопасности работ и охране труда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highlight w:val="white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Arial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1.6.1.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830"/>
              <w:numPr>
                <w:ilvl w:val="0"/>
                <w:numId w:val="0"/>
              </w:numPr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Требования к безопасности выполняемых работ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17"/>
              </w:numPr>
              <w:contextualSpacing/>
              <w:ind w:left="0" w:right="119" w:firstLine="0"/>
              <w:jc w:val="left"/>
              <w:spacing w:before="0" w:beforeAutospacing="0" w:after="0" w:afterAutospacing="0" w:line="240" w:lineRule="auto"/>
              <w:shd w:val="clear" w:color="ffffff" w:themeColor="background1" w:fill="ffffff" w:themeFill="background1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 w:val="0"/>
                <w:strike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  <w:szCs w:val="22"/>
                <w:highlight w:val="white"/>
                <w:lang w:val="ru-RU" w:eastAsia="en-US" w:bidi="ar-SA"/>
              </w:rPr>
              <w:t xml:space="preserve">Федеральный закон от 21.07.1997 № 117-ФЗ (ред. от 08.08.2024) "О безопасности гидротехнических сооружений"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color w:val="000000" w:themeColor="text1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b w:val="0"/>
                <w:bCs w:val="0"/>
                <w:strike/>
                <w:color w:val="000000" w:themeColor="text1"/>
                <w:sz w:val="22"/>
                <w:szCs w:val="22"/>
                <w:highlight w:val="yellow"/>
              </w:rPr>
            </w:r>
          </w:p>
          <w:p>
            <w:pPr>
              <w:pStyle w:val="913"/>
              <w:numPr>
                <w:ilvl w:val="0"/>
                <w:numId w:val="17"/>
              </w:numPr>
              <w:contextualSpacing/>
              <w:ind w:left="0" w:right="119" w:firstLine="0"/>
              <w:jc w:val="left"/>
              <w:spacing w:before="0" w:beforeAutospacing="0" w:after="0" w:afterAutospacing="0" w:line="240" w:lineRule="auto"/>
              <w:shd w:val="clear" w:color="ffffff" w:themeColor="background1" w:fill="ffffff" w:themeFill="background1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СНиП 12-03-2001 «Безопасность труда в строительстве» Часть 1. Общие требования. Приняты и введены в действие Постановлением Госстроя РФ от 23.07.2001 г. № 80;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7"/>
              </w:numPr>
              <w:contextualSpacing/>
              <w:ind w:left="0" w:right="119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i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ru-RU"/>
              </w:rPr>
              <w:t xml:space="preserve">СТП 364.02.89 «Правила техники безопасности при производстве подводно-технических работ».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7"/>
              </w:numPr>
              <w:contextualSpacing/>
              <w:ind w:left="0" w:right="119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  <w:szCs w:val="22"/>
                <w:highlight w:val="white"/>
                <w:lang w:val="ru-RU" w:eastAsia="en-US" w:bidi="ar-SA"/>
              </w:rPr>
              <w:t xml:space="preserve">Приказ Минтруда России от 17.12.2020 № 922н (ред. от 29.04.2025) "Об утверждении Правил по охране труда при проведении водолазных работ"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7"/>
              </w:numPr>
              <w:contextualSpacing/>
              <w:ind w:left="0" w:right="119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РД 31.84.01-90 «Единые правила безопасности труда на водолазных работах. Часть 1. Правила водолазной службы. Часть 2. Медицинское обеспечение водолазов».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17"/>
              </w:numPr>
              <w:contextualSpacing/>
              <w:ind w:left="0" w:right="119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Правилах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17"/>
              </w:numPr>
              <w:contextualSpacing/>
              <w:ind w:left="0" w:right="119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Правилах по охране труда при эксплуатации электроустановок, утвержденные Приказом Министерства труда и социальной защиты РФ от 15.12.2020 №903н (с изменениями на 29.04.2022г.).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pStyle w:val="913"/>
              <w:contextualSpacing/>
              <w:ind w:left="0" w:firstLine="214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При выполнении подводно-технического обследования в охранной зоне ВЛ не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обходимо соблюдение допустимого расстояния от проводов до вертикального габарита плавсредства в соответствии с требованиями ГОСТ 12.1.051-90, регламентирующими минимальное расстояние от машины (механизма) до ближайшего провода, находящегося под напряжением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  <w:highlight w:val="none"/>
              </w:rPr>
            </w:r>
          </w:p>
          <w:p>
            <w:pPr>
              <w:pStyle w:val="913"/>
              <w:contextualSpacing/>
              <w:ind w:left="0" w:firstLine="214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lang w:val="ru-RU" w:eastAsia="en-US" w:bidi="ru-RU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3969"/>
        </w:trPr>
        <w:tc>
          <w:tcPr>
            <w:tcW w:w="73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1.6.2.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830"/>
              <w:numPr>
                <w:ilvl w:val="0"/>
                <w:numId w:val="0"/>
              </w:numPr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Соблюдение требований пожарной безопасности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567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18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Правила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18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Технический регламент о требованиях пожарной безопасности. № 123-ФЗ от 22.07.2008;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18"/>
              </w:numPr>
              <w:contextualSpacing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ГОСТ 12.1.004-91* Система стандартов безопасности труда. Пожарная безопасность. Общие требования.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trike w:val="0"/>
                <w:color w:val="auto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rFonts w:ascii="Times New Roman" w:hAnsi="Times New Roman" w:cs="Times New Roman"/>
                <w:strike w:val="0"/>
                <w:color w:val="auto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trike w:val="0"/>
                <w:color w:val="auto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>
              <w:rPr>
                <w:rFonts w:ascii="Times New Roman" w:hAnsi="Times New Roman" w:cs="Times New Roman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Ремонтная площадка должна быть оснащена средствами пожаротушен</w:t>
            </w:r>
            <w:r>
              <w:rPr>
                <w:rFonts w:ascii="Times New Roman" w:hAnsi="Times New Roman" w:eastAsia="Times New Roman" w:cs="Times New Roman"/>
                <w:strike w:val="0"/>
                <w:color w:val="auto"/>
                <w:sz w:val="22"/>
                <w:szCs w:val="22"/>
                <w:highlight w:val="white"/>
                <w:lang w:val="ru-RU" w:eastAsia="en-US" w:bidi="ar-SA"/>
              </w:rPr>
              <w:t xml:space="preserve">ия.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white"/>
              </w:rPr>
            </w:r>
          </w:p>
          <w:p>
            <w:pPr>
              <w:pStyle w:val="913"/>
              <w:contextualSpacing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56" w:leader="none"/>
                <w:tab w:val="clear" w:pos="708" w:leader="none"/>
              </w:tabs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lang w:val="ru-RU" w:eastAsia="en-US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3050"/>
        </w:trPr>
        <w:tc>
          <w:tcPr>
            <w:tcW w:w="73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1.6.3.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830"/>
              <w:numPr>
                <w:ilvl w:val="0"/>
                <w:numId w:val="0"/>
              </w:numPr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Соблюдение требований к охране окружающей среды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right="37" w:firstLine="425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Мероприятия и работы по охране окружающей среды вести в соответствии: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3"/>
              </w:numPr>
              <w:contextualSpacing/>
              <w:ind w:left="0" w:right="37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Федеральный закон от 10.01.2002 № 7-ФЗ «Об охране окружающей среды» (ред. от 02.07.21);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3"/>
              </w:numPr>
              <w:contextualSpacing/>
              <w:ind w:left="0" w:right="37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Федеральный закон от 04.05.1999 № 96-ФЗ «Об охране атмосферного воздуха» (ред. от 11.06.2021);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3"/>
              </w:numPr>
              <w:contextualSpacing/>
              <w:ind w:left="0" w:right="225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Водный кодекс Российской Федерации.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3"/>
              </w:numPr>
              <w:contextualSpacing/>
              <w:ind w:left="0" w:right="225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 w:val="0"/>
                <w:strike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white"/>
                <w:lang w:val="ru-RU" w:eastAsia="en-US" w:bidi="ar-SA"/>
              </w:rPr>
              <w:t xml:space="preserve">ГОСТ Р 58376-2019 «Мелиоративные системы и гидротехнические сооружения. Эксплуатация. Общие требования».</w:t>
            </w:r>
            <w:r>
              <w:rPr>
                <w:rFonts w:ascii="Times New Roman" w:hAnsi="Times New Roman" w:cs="Times New Roman"/>
                <w:b w:val="0"/>
                <w:bCs w:val="0"/>
                <w:strike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trike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pStyle w:val="913"/>
              <w:contextualSpacing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256" w:leader="none"/>
                <w:tab w:val="clear" w:pos="708" w:leader="none"/>
              </w:tabs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white"/>
                <w:lang w:val="ru-RU" w:eastAsia="en-US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6662"/>
        </w:trPr>
        <w:tc>
          <w:tcPr>
            <w:tcW w:w="73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1.6.4.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830"/>
              <w:numPr>
                <w:ilvl w:val="0"/>
                <w:numId w:val="0"/>
              </w:numPr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Соблюдение требований охраны труда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W w:w="10063" w:type="dxa"/>
            <w:textDirection w:val="lrTb"/>
            <w:noWrap w:val="false"/>
          </w:tcPr>
          <w:p>
            <w:pPr>
              <w:pStyle w:val="830"/>
              <w:ind w:left="0" w:right="0" w:firstLine="283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right="0" w:firstLine="283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right="0" w:firstLine="283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ремонтных работ. Для производства работ в охранной зоне необходимо получить наряд-допуск.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right="0" w:firstLine="283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pStyle w:val="830"/>
              <w:numPr>
                <w:ilvl w:val="0"/>
                <w:numId w:val="8"/>
              </w:numPr>
              <w:ind w:left="0" w:right="0" w:firstLine="283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Правилах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pStyle w:val="830"/>
              <w:numPr>
                <w:ilvl w:val="0"/>
                <w:numId w:val="8"/>
              </w:numPr>
              <w:ind w:left="0" w:right="0" w:firstLine="283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Правила по охране труда при проведении водолазных работ (утверждены приказом Министерства труда от 17.12.2020 № 922н);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pStyle w:val="830"/>
              <w:numPr>
                <w:ilvl w:val="0"/>
                <w:numId w:val="8"/>
              </w:numPr>
              <w:ind w:left="0" w:right="0" w:firstLine="283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Об утверждении профессионального стандарта "Водолаз" (утверждены приказом Минтруда России от 08.08.2022 N 471н);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pStyle w:val="830"/>
              <w:numPr>
                <w:ilvl w:val="0"/>
                <w:numId w:val="8"/>
              </w:numPr>
              <w:ind w:left="0" w:right="0" w:firstLine="283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Правилах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pStyle w:val="830"/>
              <w:ind w:left="0" w:right="0" w:firstLine="283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  <w:szCs w:val="22"/>
                <w:highlight w:val="white"/>
                <w:lang w:val="ru-RU" w:eastAsia="en-US" w:bidi="ar-SA"/>
              </w:rPr>
              <w:t xml:space="preserve">Приказ Минтруда России от 17.12.2020 № 922н (ред. от 29.04.2025) "Об утверждении Правил по охране труда при проведении водолазных работ"</w:t>
            </w:r>
            <w:r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</w:r>
          </w:p>
          <w:p>
            <w:pPr>
              <w:pStyle w:val="830"/>
              <w:numPr>
                <w:ilvl w:val="0"/>
                <w:numId w:val="8"/>
              </w:numPr>
              <w:ind w:left="0" w:right="0" w:firstLine="283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i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ru-RU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  <w:lang w:val="ru-RU" w:eastAsia="en-US" w:bidi="ru-RU"/>
              </w:rPr>
              <w:t xml:space="preserve">28.10.2020г. №753н);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highlight w:val="white"/>
              </w:rPr>
            </w:r>
          </w:p>
          <w:p>
            <w:pPr>
              <w:pStyle w:val="830"/>
              <w:numPr>
                <w:ilvl w:val="0"/>
                <w:numId w:val="8"/>
              </w:numPr>
              <w:ind w:left="0" w:right="0" w:firstLine="283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2"/>
                <w:szCs w:val="22"/>
                <w:highlight w:val="white"/>
                <w:lang w:val="ru-RU" w:eastAsia="en-US" w:bidi="ar-SA"/>
              </w:rPr>
              <w:t xml:space="preserve">Приказ Минтруда России от 17.12.2020 № 922н (ред. от 29.04.2025) "Об утверждении Правил по охране труда при проведении водолазных работ"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white"/>
              </w:rPr>
            </w:r>
          </w:p>
          <w:p>
            <w:pPr>
              <w:pStyle w:val="913"/>
              <w:contextualSpacing/>
              <w:ind w:left="0" w:right="0" w:firstLine="283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ru-RU" w:eastAsia="en-US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right="0" w:firstLine="283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highlight w:val="white"/>
                <w:lang w:val="ru-RU" w:eastAsia="en-US" w:bidi="ar-SA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913"/>
              <w:numPr>
                <w:ilvl w:val="0"/>
                <w:numId w:val="2"/>
              </w:numPr>
              <w:contextualSpacing/>
              <w:ind w:left="0" w:hanging="36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b/>
                <w:bCs/>
                <w:sz w:val="22"/>
                <w:szCs w:val="22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1204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eastAsia="en-US" w:bidi="ar-SA"/>
              </w:rPr>
              <w:t xml:space="preserve">Требования к результатам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567"/>
        </w:trPr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913"/>
              <w:numPr>
                <w:ilvl w:val="1"/>
                <w:numId w:val="2"/>
              </w:numPr>
              <w:contextualSpacing/>
              <w:ind w:left="0" w:firstLine="142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2047" w:type="dxa"/>
            <w:vAlign w:val="center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Общие требования к результатам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0"/>
              <w:jc w:val="left"/>
              <w:keepLines/>
              <w:keepNext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Состояние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ru-RU" w:eastAsia="en-US" w:bidi="ar-SA"/>
              </w:rPr>
              <w:t xml:space="preserve">Береговой насосной станции (Инв.№00000000000000011248) 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  <w:highlight w:val="white"/>
                <w:lang w:val="ru-RU" w:eastAsia="en-US" w:bidi="ar-SA"/>
              </w:rPr>
              <w:t xml:space="preserve">после ремонта должно соответствовать требованиям нормативно-технической документации в течение гарантийного срока.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328"/>
        </w:trPr>
        <w:tc>
          <w:tcPr>
            <w:tcW w:w="737" w:type="dxa"/>
            <w:vAlign w:val="center"/>
            <w:textDirection w:val="lrTb"/>
            <w:noWrap w:val="false"/>
          </w:tcPr>
          <w:p>
            <w:pPr>
              <w:pStyle w:val="913"/>
              <w:numPr>
                <w:ilvl w:val="1"/>
                <w:numId w:val="2"/>
              </w:numPr>
              <w:contextualSpacing/>
              <w:ind w:lef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2047" w:type="dxa"/>
            <w:vAlign w:val="center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val="ru-RU" w:eastAsia="en-US" w:bidi="ar-SA"/>
              </w:rPr>
              <w:t xml:space="preserve">Требования к порядку приемки результатов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Подробно указаны в проекте договора подряда (в том числе в разделе № 4),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6520"/>
        </w:trPr>
        <w:tc>
          <w:tcPr>
            <w:tcW w:w="737" w:type="dxa"/>
            <w:textDirection w:val="lrTb"/>
            <w:noWrap w:val="false"/>
          </w:tcPr>
          <w:p>
            <w:pPr>
              <w:pStyle w:val="913"/>
              <w:numPr>
                <w:ilvl w:val="1"/>
                <w:numId w:val="2"/>
              </w:numPr>
              <w:contextualSpacing/>
              <w:ind w:left="0" w:firstLine="142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1204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Требования к оформлению документации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left" w:pos="317" w:leader="none"/>
                <w:tab w:val="clear" w:pos="708" w:leader="none"/>
                <w:tab w:val="left" w:pos="156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Представить Заказчику с актами вы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полненных работ (в 3-х (трёх) экземплярах, а также электронные версии Акта КС-2 и Справки КС-3 в формате *gsfx ПК «ГРАНД Сметы» на цифровом носителе) исполнительную документацию в электронном виде (в формате *.pdf) и на бумажном носителе в 2-х экземплярах.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left" w:pos="317" w:leader="none"/>
                <w:tab w:val="clear" w:pos="708" w:leader="none"/>
                <w:tab w:val="left" w:pos="156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ru-RU" w:eastAsia="en-US" w:bidi="ar-SA"/>
              </w:rPr>
              <w:t xml:space="preserve">Исполнительная документация должна быть оформлена в соответствии с: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6"/>
              </w:numPr>
              <w:contextualSpacing/>
              <w:ind w:left="0" w:right="0" w:firstLine="283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left" w:pos="425" w:leader="none"/>
                <w:tab w:val="clear" w:pos="708" w:leader="none"/>
                <w:tab w:val="left" w:pos="156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ru-RU" w:eastAsia="en-US" w:bidi="ar-SA"/>
              </w:rPr>
              <w:t xml:space="preserve">Приказом Министерства строительства и ЖКХ №344/пр от 16.05.2023 «С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en-US" w:bidi="ar-SA"/>
              </w:rPr>
              <w:t xml:space="preserve">остав и порядок ведения исполнительной документации при строительстве, реконструкции, капитальном ремонте объектов капитального строительства»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9"/>
              </w:numPr>
              <w:contextualSpacing/>
              <w:ind w:left="0" w:right="0" w:firstLine="283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left" w:pos="425" w:leader="none"/>
                <w:tab w:val="clear" w:pos="708" w:leader="none"/>
                <w:tab w:val="left" w:pos="1560" w:leader="none"/>
              </w:tabs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  <w:highlight w:val="white"/>
                <w:lang w:val="ru-RU" w:eastAsia="en-US" w:bidi="ar-SA"/>
              </w:rPr>
              <w:t xml:space="preserve">Регламентом оформления документации при проведении сварочных работ при монтаже и ремонте оборудования объектов АО «ДГК»» (приказ АО «ДГК» от 15.05.2023 №340);</w:t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0"/>
              </w:numPr>
              <w:contextualSpacing/>
              <w:ind w:left="0" w:right="0" w:firstLine="283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left" w:pos="425" w:leader="none"/>
                <w:tab w:val="clear" w:pos="708" w:leader="none"/>
                <w:tab w:val="left" w:pos="1560" w:leader="none"/>
              </w:tabs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  <w:highlight w:val="white"/>
                <w:lang w:val="ru-RU" w:eastAsia="en-US" w:bidi="ar-SA"/>
              </w:rPr>
              <w:t xml:space="preserve">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АО «ДГК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  <w:lang w:val="ru-RU" w:eastAsia="en-US" w:bidi="ar-SA"/>
              </w:rPr>
              <w:t xml:space="preserve">».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830"/>
              <w:ind w:left="0" w:firstLine="425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left" w:pos="425" w:leader="none"/>
                <w:tab w:val="clear" w:pos="708" w:leader="none"/>
                <w:tab w:val="left" w:pos="156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Подрядчик обязан оформить и передать Заказчику исполнительную и сдаточную документацию в следующем составе, но не ограничиваясь: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913"/>
              <w:numPr>
                <w:ilvl w:val="0"/>
                <w:numId w:val="5"/>
              </w:numPr>
              <w:contextualSpacing/>
              <w:ind w:left="0" w:right="72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5"/>
              </w:numPr>
              <w:contextualSpacing/>
              <w:ind w:left="0" w:right="72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5"/>
              </w:numPr>
              <w:contextualSpacing/>
              <w:ind w:left="0" w:right="72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счета-фактуры на материалы, закупаемые Подрядчиком для использования в процессе ремонта;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5"/>
              </w:numPr>
              <w:contextualSpacing/>
              <w:ind w:left="0" w:right="72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исполнительные чертежи;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5"/>
              </w:numPr>
              <w:contextualSpacing/>
              <w:ind w:left="0" w:right="72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табель учета рабочего времени Подрядчика;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5"/>
              </w:numPr>
              <w:contextualSpacing/>
              <w:ind w:left="0" w:right="72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общий журнал работ;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5"/>
              </w:numPr>
              <w:contextualSpacing/>
              <w:ind w:left="0" w:right="72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специальные журналы работ (соответствующие видам выполняемых работ)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5"/>
              </w:numPr>
              <w:contextualSpacing/>
              <w:ind w:left="0" w:right="72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акт освидетельствования скрытых работ;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5"/>
              </w:numPr>
              <w:contextualSpacing/>
              <w:ind w:left="0" w:right="72" w:firstLine="425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акт предремонтного обследования объекта;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5"/>
              </w:numPr>
              <w:contextualSpacing/>
              <w:ind w:left="0" w:right="72" w:firstLine="425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en-US" w:bidi="ar-SA"/>
              </w:rPr>
              <w:t xml:space="preserve">ведомость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планируемых ремонтно-строительных работ;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5"/>
              </w:numPr>
              <w:contextualSpacing/>
              <w:ind w:left="0" w:right="72" w:firstLine="425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en-US" w:bidi="ar-SA"/>
              </w:rPr>
              <w:t xml:space="preserve">акт готовности здания, сооружения к производству работ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5"/>
              </w:numPr>
              <w:contextualSpacing/>
              <w:ind w:left="0" w:right="72" w:firstLine="425"/>
              <w:jc w:val="left"/>
              <w:spacing w:before="0" w:beforeAutospacing="0" w:after="0" w:afterAutospacing="0" w:line="240" w:lineRule="auto"/>
              <w:shd w:val="clear" w:color="auto" w:fill="ffffff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en-US" w:bidi="ar-SA"/>
              </w:rPr>
              <w:t xml:space="preserve">акт приёмки из ремонта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 здания, сооружения;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13"/>
              <w:numPr>
                <w:ilvl w:val="0"/>
                <w:numId w:val="4"/>
              </w:numPr>
              <w:contextualSpacing/>
              <w:ind w:left="0" w:firstLine="425"/>
              <w:jc w:val="left"/>
              <w:spacing w:before="0" w:beforeAutospacing="0" w:after="0" w:afterAutospacing="0" w:line="240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другие документы по усмотрению Сторон с учетом специфики Работ.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320"/>
        </w:trPr>
        <w:tc>
          <w:tcPr>
            <w:tcW w:w="73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Arial" w:cs="Times New Roman"/>
                <w:b/>
                <w:bCs/>
                <w:sz w:val="22"/>
                <w:szCs w:val="22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2047" w:type="dxa"/>
            <w:vAlign w:val="center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Подробно указаны в проекте договора подряда (в том числе в разделе №2),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37" w:type="dxa"/>
            <w:textDirection w:val="lrTb"/>
            <w:noWrap w:val="false"/>
          </w:tcPr>
          <w:p>
            <w:pPr>
              <w:pStyle w:val="913"/>
              <w:numPr>
                <w:ilvl w:val="0"/>
                <w:numId w:val="2"/>
              </w:numPr>
              <w:contextualSpacing/>
              <w:ind w:left="0" w:hanging="36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b/>
                <w:bCs/>
                <w:sz w:val="22"/>
                <w:szCs w:val="22"/>
                <w:lang w:val="ru-RU" w:eastAsia="en-US" w:bidi="ar-SA"/>
              </w:rPr>
              <w:t xml:space="preserve">4.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12047" w:type="dxa"/>
            <w:vAlign w:val="center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Требования к ответственности и гарантиям подрядчика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lang w:val="ru-RU" w:eastAsia="en-US" w:bidi="ru-RU"/>
              </w:rPr>
              <w:t xml:space="preserve">Подробно требования к сроку и объему предоставления гарантий указаны в проекте договора подряда (в том числе в разделах №6 и №7),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345"/>
        </w:trPr>
        <w:tc>
          <w:tcPr>
            <w:tcW w:w="737" w:type="dxa"/>
            <w:textDirection w:val="lrTb"/>
            <w:noWrap w:val="false"/>
          </w:tcPr>
          <w:p>
            <w:pPr>
              <w:pStyle w:val="913"/>
              <w:numPr>
                <w:ilvl w:val="0"/>
                <w:numId w:val="2"/>
              </w:numPr>
              <w:contextualSpacing/>
              <w:ind w:left="0" w:hanging="36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b/>
                <w:bCs/>
                <w:sz w:val="22"/>
                <w:szCs w:val="22"/>
                <w:lang w:val="ru-RU" w:eastAsia="en-US" w:bidi="ar-SA"/>
              </w:rPr>
              <w:t xml:space="preserve">5.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12047" w:type="dxa"/>
            <w:vAlign w:val="center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keepNext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Требования к субподрядным организациям, привлекаемым к выполнению работ подробно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gridSpan w:val="2"/>
            <w:tcW w:w="15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17" w:type="dxa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 w:bidi="ar-SA"/>
              </w:rPr>
              <w:t xml:space="preserve">-//-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2918"/>
        </w:trPr>
        <w:tc>
          <w:tcPr>
            <w:tcW w:w="737" w:type="dxa"/>
            <w:textDirection w:val="lrTb"/>
            <w:noWrap w:val="false"/>
          </w:tcPr>
          <w:p>
            <w:pPr>
              <w:pStyle w:val="913"/>
              <w:numPr>
                <w:ilvl w:val="0"/>
                <w:numId w:val="2"/>
              </w:numPr>
              <w:contextualSpacing/>
              <w:ind w:left="0" w:hanging="36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Arial" w:cs="Times New Roman"/>
                <w:b/>
                <w:bCs/>
                <w:sz w:val="22"/>
                <w:szCs w:val="22"/>
                <w:lang w:val="ru-RU" w:eastAsia="en-US" w:bidi="ar-SA"/>
              </w:rPr>
              <w:t xml:space="preserve">6.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tcW w:w="12049" w:type="dxa"/>
            <w:vAlign w:val="center"/>
            <w:textDirection w:val="lrTb"/>
            <w:noWrap w:val="false"/>
          </w:tcPr>
          <w:p>
            <w:pPr>
              <w:pStyle w:val="830"/>
              <w:ind w:left="0" w:firstLine="0"/>
              <w:jc w:val="left"/>
              <w:keepNext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highlight w:val="white"/>
                <w:u w:val="none"/>
                <w:lang w:val="ru-RU" w:eastAsia="en-US" w:bidi="ar-SA"/>
              </w:rPr>
              <w:t xml:space="preserve">Требования к Победителю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none"/>
                <w:u w:val="non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Участник, признанный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победителем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закупочной процедуры, в течение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u w:val="single"/>
                <w:lang w:val="ru-RU" w:eastAsia="en-US" w:bidi="ar-SA"/>
              </w:rPr>
              <w:t xml:space="preserve">5 рабочих дней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после размещения протокола подведения итогов закупки на сайте </w:t>
            </w:r>
            <w:hyperlink r:id="rId20" w:tooltip="http://www.zakupki.gov.ru/" w:history="1">
              <w:r>
                <w:rPr>
                  <w:rStyle w:val="874"/>
                  <w:rFonts w:ascii="Times New Roman" w:hAnsi="Times New Roman" w:eastAsia="Times New Roman" w:cs="Times New Roman"/>
                  <w:sz w:val="22"/>
                  <w:szCs w:val="22"/>
                  <w:highlight w:val="white"/>
                  <w:lang w:val="ru-RU" w:eastAsia="en-US" w:bidi="ar-SA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(до заключения договора) должен предоставить в адрес Заказчика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на электронный адрес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bondarenko-li@dgk.ru,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  <w:lang w:val="ru-RU" w:eastAsia="en-US" w:bidi="ar-SA"/>
              </w:rPr>
              <w:t xml:space="preserve">timoshenkova-ov@dgk.ru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дополнительные документы,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 в отношении следующего состава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квалифицированного персонала: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913"/>
              <w:numPr>
                <w:ilvl w:val="0"/>
                <w:numId w:val="19"/>
              </w:numPr>
              <w:contextualSpacing/>
              <w:jc w:val="left"/>
              <w:keepNext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2 класс I-II группа специализации водолазных работ,6 разряд- не менее 2 специалистов;</w:t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9"/>
              </w:numPr>
              <w:contextualSpacing/>
              <w:jc w:val="left"/>
              <w:keepNext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3 класс I-II группа специализации водолазных работ,5 разряд – не менее 1 специалиста;</w:t>
            </w:r>
            <w:r>
              <w:rPr>
                <w:rFonts w:ascii="Times New Roman" w:hAnsi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913"/>
              <w:numPr>
                <w:ilvl w:val="0"/>
                <w:numId w:val="19"/>
              </w:numPr>
              <w:contextualSpacing/>
              <w:jc w:val="left"/>
              <w:keepNext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водолаз-«резчик-сварщик» I-II группа специализации водолазных работ – не менее 1 специалиста.</w:t>
            </w:r>
            <w:r>
              <w:rPr>
                <w:rFonts w:ascii="Times New Roman" w:hAnsi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(в соответствии с Правилами по охране труда при проведении водолазных работ, утв. Приказом Минтруда России от 17.12.2020 N 922н).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830"/>
              <w:ind w:lef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3175" w:type="dxa"/>
            <w:vAlign w:val="top"/>
            <w:textDirection w:val="lrTb"/>
            <w:noWrap w:val="false"/>
          </w:tcPr>
          <w:p>
            <w:pPr>
              <w:contextualSpacing/>
              <w:ind w:left="142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142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  <w:u w:val="single"/>
                <w:lang w:val="ru-RU" w:eastAsia="en-US" w:bidi="ar-SA"/>
              </w:rPr>
              <w:t xml:space="preserve">Подтверждается: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  <w:p>
            <w:pPr>
              <w:pStyle w:val="913"/>
              <w:numPr>
                <w:ilvl w:val="0"/>
                <w:numId w:val="20"/>
              </w:numPr>
              <w:contextualSpacing/>
              <w:ind w:left="142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142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Копии квалификационных документов о профессиональном образовании по водолазному делу;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  <w:p>
            <w:pPr>
              <w:pStyle w:val="913"/>
              <w:numPr>
                <w:ilvl w:val="0"/>
                <w:numId w:val="20"/>
              </w:numPr>
              <w:contextualSpacing/>
              <w:ind w:left="142" w:right="0" w:firstLine="0"/>
              <w:jc w:val="left"/>
              <w:spacing w:before="0" w:beforeAutospacing="0" w:after="0" w:afterAutospacing="0" w:line="240" w:lineRule="auto"/>
              <w:widowControl w:val="off"/>
              <w:tabs>
                <w:tab w:val="left" w:pos="142" w:leader="none"/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Копии личных медицинских книжек водолазов с заключением водолазно-мед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trike w:val="0"/>
                <w:sz w:val="22"/>
                <w:szCs w:val="22"/>
                <w:highlight w:val="white"/>
                <w:lang w:val="ru-RU" w:eastAsia="en-US" w:bidi="ar-SA"/>
              </w:rPr>
              <w:t xml:space="preserve">ицинской комиссии (ВМК) о пригодности к подводным работам.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</w:tc>
      </w:tr>
    </w:tbl>
    <w:p>
      <w:pPr>
        <w:sectPr>
          <w:headerReference w:type="default" r:id="rId10"/>
          <w:headerReference w:type="first" r:id="rId11"/>
          <w:footerReference w:type="default" r:id="rId16"/>
          <w:footerReference w:type="first" r:id="rId17"/>
          <w:footnotePr/>
          <w:endnotePr/>
          <w:type w:val="nextPage"/>
          <w:pgSz w:w="16838" w:h="11906" w:orient="landscape"/>
          <w:pgMar w:top="992" w:right="1134" w:bottom="850" w:left="1134" w:header="0" w:footer="709" w:gutter="0"/>
          <w:cols w:num="1" w:sep="0" w:space="1701" w:equalWidth="1"/>
          <w:docGrid w:linePitch="360"/>
        </w:sectPr>
      </w:pPr>
      <w:r/>
      <w:r/>
    </w:p>
    <w:p>
      <w:pPr>
        <w:pStyle w:val="831"/>
        <w:contextualSpacing/>
        <w:jc w:val="left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3. Требования  к документации по ценообразованию на этапе закупки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914"/>
        <w:ind w:firstLine="425"/>
        <w:jc w:val="both"/>
        <w:spacing w:before="0" w:after="0" w:line="283" w:lineRule="atLeast"/>
        <w:tabs>
          <w:tab w:val="left" w:pos="0" w:leader="none"/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3.1. В обоснование стоимости своей заявки Участник предоставляет Коммерческое предложение по форме №3 (с учетом прилагаемой к ней инструкции по заполнению), приведенной в Докумен</w:t>
      </w:r>
      <w:r>
        <w:rPr>
          <w:rFonts w:eastAsia="Times New Roman" w:cs="Times New Roman"/>
          <w:sz w:val="24"/>
          <w:szCs w:val="24"/>
        </w:rPr>
        <w:t xml:space="preserve">тации о закупке (с указанием понижающего коэффициента).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13"/>
        <w:contextualSpacing/>
        <w:ind w:left="0" w:right="709" w:firstLine="0"/>
        <w:jc w:val="both"/>
        <w:spacing w:before="0" w:after="200" w:line="283" w:lineRule="atLeast"/>
        <w:tabs>
          <w:tab w:val="clear" w:pos="708" w:leader="none"/>
          <w:tab w:val="left" w:pos="993" w:leader="none"/>
          <w:tab w:val="left" w:pos="212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Стоимость предложений участников определяется по формуле: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3"/>
        <w:contextualSpacing/>
        <w:ind w:left="1701" w:right="709" w:firstLine="0"/>
        <w:jc w:val="center"/>
        <w:spacing w:before="0" w:after="200" w:line="283" w:lineRule="atLeast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P=N*k,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913"/>
        <w:contextualSpacing/>
        <w:ind w:left="0" w:right="709" w:firstLine="0"/>
        <w:jc w:val="both"/>
        <w:spacing w:before="0" w:after="200" w:line="283" w:lineRule="atLeast"/>
        <w:tabs>
          <w:tab w:val="clear" w:pos="708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где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P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стоимость предложения участника;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3"/>
        <w:contextualSpacing/>
        <w:ind w:left="0" w:right="709" w:firstLine="0"/>
        <w:jc w:val="both"/>
        <w:spacing w:before="0" w:after="200" w:line="85" w:lineRule="atLeast"/>
        <w:tabs>
          <w:tab w:val="clear" w:pos="708" w:leader="none"/>
          <w:tab w:val="left" w:pos="993" w:leader="none"/>
        </w:tabs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N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закупке;</w:t>
      </w:r>
      <w:r/>
    </w:p>
    <w:p>
      <w:pPr>
        <w:pStyle w:val="913"/>
        <w:contextualSpacing/>
        <w:ind w:left="0" w:right="709" w:firstLine="0"/>
        <w:jc w:val="both"/>
        <w:spacing w:before="0" w:after="200" w:line="85" w:lineRule="atLeast"/>
        <w:tabs>
          <w:tab w:val="clear" w:pos="708" w:leader="none"/>
          <w:tab w:val="left" w:pos="1985" w:leader="none"/>
        </w:tabs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k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 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  <w:r/>
    </w:p>
    <w:p>
      <w:pPr>
        <w:pStyle w:val="914"/>
        <w:ind w:firstLine="425"/>
        <w:jc w:val="both"/>
        <w:spacing w:before="0" w:after="0" w:line="283" w:lineRule="atLeast"/>
        <w:tabs>
          <w:tab w:val="left" w:pos="0" w:leader="none"/>
          <w:tab w:val="clear" w:pos="708" w:leader="none"/>
          <w:tab w:val="left" w:pos="1134" w:leader="none"/>
        </w:tabs>
      </w:pPr>
      <w:r>
        <w:rPr>
          <w:sz w:val="24"/>
          <w:szCs w:val="24"/>
        </w:rPr>
        <w:t xml:space="preserve">3.2. Дополнительные документы по ценообразованию (сметная документация) в состав заявки Участника не включаются.</w:t>
      </w:r>
      <w:r/>
    </w:p>
    <w:p>
      <w:pPr>
        <w:pStyle w:val="914"/>
        <w:ind w:firstLine="425"/>
        <w:jc w:val="both"/>
        <w:spacing w:before="0" w:after="0" w:line="283" w:lineRule="atLeast"/>
        <w:tabs>
          <w:tab w:val="left" w:pos="0" w:leader="none"/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1"/>
        <w:ind w:left="357" w:firstLine="0"/>
        <w:jc w:val="left"/>
        <w:spacing w:before="0" w:after="0" w:line="57" w:lineRule="atLeast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4.</w:t>
      </w:r>
      <w:bookmarkStart w:id="6" w:name="undefined_Копия_6"/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Требования к документации по ценообразованию на этапе заключения (исполнения) договора</w:t>
      </w:r>
      <w:bookmarkEnd w:id="6"/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914"/>
        <w:ind w:firstLine="425"/>
        <w:jc w:val="both"/>
        <w:spacing w:before="0" w:after="0" w:line="65" w:lineRule="atLeast"/>
        <w:tabs>
          <w:tab w:val="left" w:pos="0" w:leader="none"/>
          <w:tab w:val="clear" w:pos="708" w:leader="none"/>
          <w:tab w:val="left" w:pos="1134" w:leader="none"/>
        </w:tabs>
      </w:pPr>
      <w:r>
        <w:rPr>
          <w:sz w:val="24"/>
          <w:szCs w:val="24"/>
        </w:rPr>
        <w:t xml:space="preserve">4.1. Требования к составлению сметной документации (при заключении договора):</w:t>
      </w:r>
      <w:r/>
    </w:p>
    <w:p>
      <w:pPr>
        <w:pStyle w:val="914"/>
        <w:ind w:firstLine="425"/>
        <w:jc w:val="both"/>
        <w:spacing w:before="0" w:after="0" w:line="65" w:lineRule="atLeast"/>
        <w:tabs>
          <w:tab w:val="left" w:pos="0" w:leader="none"/>
          <w:tab w:val="clear" w:pos="708" w:leader="none"/>
          <w:tab w:val="left" w:pos="1134" w:leader="none"/>
        </w:tabs>
      </w:pPr>
      <w:r>
        <w:rPr>
          <w:sz w:val="24"/>
          <w:szCs w:val="24"/>
        </w:rPr>
        <w:t xml:space="preserve">4.1.1. Сметная документация разработана Заказчиком в рамках определения начальной (максимальной) цены договора в соответствии с объёмами, указанными в приложении № 4 к настоящим Техническим требованиям и условиями проекта договора, являющегося приложе</w:t>
      </w:r>
      <w:r>
        <w:rPr>
          <w:sz w:val="24"/>
          <w:szCs w:val="24"/>
        </w:rPr>
        <w:t xml:space="preserve">нием к документации закупки, и включаются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</w:t>
      </w:r>
      <w:r>
        <w:rPr>
          <w:i/>
          <w:sz w:val="24"/>
          <w:szCs w:val="24"/>
        </w:rPr>
        <w:t xml:space="preserve">после начисления лимитированных затрат до начисления НДС в случае составления одной сметы</w:t>
      </w:r>
      <w:r>
        <w:rPr>
          <w:sz w:val="24"/>
          <w:szCs w:val="24"/>
        </w:rPr>
        <w:t xml:space="preserve">)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в сводном сметном расчете единым индексом в итогах (</w:t>
      </w:r>
      <w:r>
        <w:rPr>
          <w:i/>
          <w:sz w:val="24"/>
          <w:szCs w:val="24"/>
        </w:rPr>
        <w:t xml:space="preserve">после начисления лимитированных затрат до начисления НДС в случае наличия нескольких смет</w:t>
      </w:r>
      <w:r>
        <w:rPr>
          <w:sz w:val="24"/>
          <w:szCs w:val="24"/>
        </w:rPr>
        <w:t xml:space="preserve">).</w:t>
      </w:r>
      <w:r/>
    </w:p>
    <w:p>
      <w:pPr>
        <w:pStyle w:val="914"/>
        <w:ind w:firstLine="425"/>
        <w:jc w:val="both"/>
        <w:spacing w:before="0" w:after="0" w:line="65" w:lineRule="atLeast"/>
        <w:tabs>
          <w:tab w:val="left" w:pos="0" w:leader="none"/>
          <w:tab w:val="clear" w:pos="708" w:leader="none"/>
          <w:tab w:val="left" w:pos="1134" w:leader="none"/>
        </w:tabs>
      </w:pPr>
      <w:r>
        <w:rPr>
          <w:sz w:val="24"/>
          <w:szCs w:val="24"/>
        </w:rPr>
        <w:t xml:space="preserve">4.1.2. Внесение изменений в сметную документацию заказчика, кроме применения понижающего коэффициента в соответствии с п. 4.1.1, не допускается.</w:t>
      </w:r>
      <w:r/>
    </w:p>
    <w:p>
      <w:pPr>
        <w:pStyle w:val="914"/>
        <w:ind w:firstLine="425"/>
        <w:jc w:val="both"/>
        <w:spacing w:before="0" w:after="0" w:line="65" w:lineRule="atLeast"/>
        <w:tabs>
          <w:tab w:val="left" w:pos="0" w:leader="none"/>
          <w:tab w:val="clear" w:pos="708" w:leader="none"/>
          <w:tab w:val="left" w:pos="1134" w:leader="none"/>
        </w:tabs>
      </w:pPr>
      <w:r>
        <w:rPr>
          <w:sz w:val="24"/>
          <w:szCs w:val="24"/>
        </w:rPr>
        <w:t xml:space="preserve">4.1.3. Оплата непредвиденных работ и затрат осуществляется Заказчиком в следующем порядке: непредвиденные работы и затраты оплачиваются за фактически выполненные р</w:t>
      </w:r>
      <w:r>
        <w:rPr>
          <w:sz w:val="24"/>
          <w:szCs w:val="24"/>
        </w:rPr>
        <w:t xml:space="preserve">аботы. Объем работ, выполняемый Подрядчиком, должен быть предварительно согласован с Заказчиком и выполняться на основании утвержденной Заказчиком локальной сметы, в рамках Лимита на непредвиденные работы и затраты, предусмотренного утвержденным локальным </w:t>
      </w:r>
      <w:r>
        <w:rPr>
          <w:bCs/>
          <w:sz w:val="24"/>
          <w:szCs w:val="24"/>
        </w:rPr>
        <w:t xml:space="preserve">сметным расчетом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приложениями</w:t>
      </w:r>
      <w:r>
        <w:rPr>
          <w:sz w:val="24"/>
          <w:szCs w:val="24"/>
        </w:rPr>
        <w:t xml:space="preserve"> (Приложение № 2 к Договору). Приемка выполненного объема работ производится одновременно с Работами по Договору при подписании Сторонами Акта КС-2 в соответствии с пунктом 4.1 Договора. Оплата в размере 100 % (ста процентов) от стоимости непредви</w:t>
      </w:r>
      <w:r>
        <w:rPr>
          <w:sz w:val="24"/>
          <w:szCs w:val="24"/>
        </w:rPr>
        <w:t xml:space="preserve">денных работ и затрат производится Заказчиком в течение 7 (семи) рабочих  дней с даты подписания Акта КС-2 и Справки КС-3 на основании счета, выставленного Подрядчиком, и с учетом пункта 3.3.1 Договора. Стоимость непредвиденных работ и затрат включается в </w:t>
      </w:r>
      <w:r>
        <w:rPr>
          <w:bCs/>
          <w:sz w:val="24"/>
          <w:szCs w:val="24"/>
        </w:rPr>
        <w:t xml:space="preserve">общую сумму Акта КС-2, подписываемого Сторонами в соответствии с пунктом 4.1 Договора.</w:t>
      </w:r>
      <w:r/>
    </w:p>
    <w:p>
      <w:pPr>
        <w:pStyle w:val="914"/>
        <w:ind w:firstLine="425"/>
        <w:jc w:val="both"/>
        <w:spacing w:line="276" w:lineRule="auto"/>
        <w:tabs>
          <w:tab w:val="left" w:pos="0" w:leader="none"/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/>
      <w:bookmarkStart w:id="7" w:name="undefined_Копия_7"/>
      <w:r>
        <w:rPr>
          <w:rFonts w:eastAsia="Times New Roman" w:cs="Times New Roman"/>
          <w:b/>
          <w:iCs/>
          <w:sz w:val="24"/>
          <w:szCs w:val="24"/>
        </w:rPr>
        <w:t xml:space="preserve">5. Список приложений</w:t>
      </w:r>
      <w:bookmarkEnd w:id="7"/>
      <w:r>
        <w:rPr>
          <w:rFonts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0"/>
        <w:contextualSpacing/>
        <w:ind w:left="0" w:right="0" w:firstLine="0"/>
        <w:jc w:val="both"/>
        <w:spacing w:before="0" w:after="200" w:line="276" w:lineRule="auto"/>
        <w:shd w:val="clear" w:color="auto" w:fill="ffffff"/>
        <w:widowControl w:val="off"/>
        <w:tabs>
          <w:tab w:val="left" w:pos="0" w:leader="none"/>
          <w:tab w:val="clear" w:pos="708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 1 – Ведомость объёмов работ </w:t>
      </w:r>
      <w:r>
        <w:rPr>
          <w:rFonts w:ascii="Times New Roman" w:hAnsi="Times New Roman" w:eastAsia="Times New Roman" w:cs="Times New Roman"/>
          <w:strike w:val="0"/>
          <w:sz w:val="24"/>
          <w:szCs w:val="24"/>
          <w:shd w:val="clear" w:color="auto" w:fill="auto"/>
        </w:rPr>
        <w:t xml:space="preserve">на 2026-2027 год;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0"/>
        <w:contextualSpacing/>
        <w:ind w:left="0" w:right="0" w:firstLine="0"/>
        <w:jc w:val="both"/>
        <w:spacing w:before="0" w:after="200" w:line="276" w:lineRule="auto"/>
        <w:shd w:val="clear" w:color="auto" w:fill="ffffff"/>
        <w:widowControl w:val="off"/>
        <w:tabs>
          <w:tab w:val="left" w:pos="0" w:leader="none"/>
          <w:tab w:val="clear" w:pos="708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Приложение № 2 – Ведомость материалов Подрядчика </w:t>
      </w:r>
      <w:r>
        <w:rPr>
          <w:rFonts w:ascii="Times New Roman" w:hAnsi="Times New Roman" w:eastAsia="Times New Roman" w:cs="Times New Roman"/>
          <w:strike w:val="0"/>
          <w:sz w:val="24"/>
          <w:szCs w:val="24"/>
          <w:shd w:val="clear" w:color="auto" w:fill="auto"/>
        </w:rPr>
        <w:t xml:space="preserve">на 2026-2027 год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auto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0"/>
        <w:contextualSpacing/>
        <w:ind w:left="0" w:right="0" w:firstLine="0"/>
        <w:jc w:val="both"/>
        <w:spacing w:before="0" w:after="200" w:line="276" w:lineRule="auto"/>
        <w:shd w:val="clear" w:color="auto" w:fill="ffffff"/>
        <w:widowControl w:val="off"/>
        <w:tabs>
          <w:tab w:val="left" w:pos="0" w:leader="none"/>
          <w:tab w:val="clear" w:pos="708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 3 – Сводный сметный расчет;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0"/>
        <w:contextualSpacing/>
        <w:ind w:left="0" w:right="0" w:firstLine="0"/>
        <w:jc w:val="both"/>
        <w:spacing w:before="0" w:after="200" w:line="276" w:lineRule="auto"/>
        <w:shd w:val="clear" w:color="auto" w:fill="ffffff"/>
        <w:widowControl w:val="off"/>
        <w:tabs>
          <w:tab w:val="left" w:pos="0" w:leader="none"/>
          <w:tab w:val="clear" w:pos="708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 3.1 – Локальный сметный расчет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auto"/>
        </w:rPr>
        <w:t xml:space="preserve">на 2026 год;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0"/>
        <w:contextualSpacing/>
        <w:ind w:left="0" w:right="0" w:firstLine="0"/>
        <w:jc w:val="both"/>
        <w:spacing w:before="0" w:after="200" w:line="276" w:lineRule="auto"/>
        <w:shd w:val="clear" w:color="auto" w:fill="ffffff"/>
        <w:widowControl w:val="off"/>
        <w:tabs>
          <w:tab w:val="left" w:pos="0" w:leader="none"/>
          <w:tab w:val="clear" w:pos="708" w:leader="none"/>
        </w:tabs>
        <w:rPr>
          <w:rFonts w:asciiTheme="minorHAnsi" w:hAnsiTheme="minorHAnsi" w:eastAsiaTheme="minorHAnsi" w:cstheme="minorBidi"/>
          <w:highlight w:val="none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auto"/>
        </w:rPr>
        <w:t xml:space="preserve">Приложение № 3.2 – Локальный сметный расчет на 2027 год;</w:t>
      </w:r>
      <w:r>
        <w:rPr>
          <w:rFonts w:asciiTheme="minorHAnsi" w:hAnsiTheme="minorHAnsi" w:eastAsiaTheme="minorHAnsi" w:cstheme="minorBidi"/>
          <w:highlight w:val="none"/>
          <w:shd w:val="clear" w:color="auto" w:fill="auto"/>
        </w:rPr>
      </w:r>
      <w:r>
        <w:rPr>
          <w:rFonts w:asciiTheme="minorHAnsi" w:hAnsiTheme="minorHAnsi" w:eastAsiaTheme="minorHAnsi" w:cstheme="minorBidi"/>
          <w:highlight w:val="none"/>
          <w:shd w:val="clear" w:color="auto" w:fill="auto"/>
        </w:rPr>
      </w:r>
    </w:p>
    <w:p>
      <w:pPr>
        <w:pStyle w:val="830"/>
        <w:contextualSpacing/>
        <w:ind w:firstLine="0"/>
        <w:jc w:val="both"/>
        <w:spacing w:before="0" w:after="12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Приложение № 4 -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оформлению и составлению документации по ценообразованию;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0"/>
        <w:contextualSpacing/>
        <w:ind w:left="0" w:right="0" w:firstLine="0"/>
        <w:jc w:val="both"/>
        <w:spacing w:before="0" w:after="200" w:line="276" w:lineRule="auto"/>
        <w:shd w:val="clear" w:color="auto" w:fill="ffffff"/>
        <w:widowControl w:val="off"/>
        <w:tabs>
          <w:tab w:val="left" w:pos="0" w:leader="none"/>
          <w:tab w:val="clear" w:pos="708" w:leader="none"/>
        </w:tabs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5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Локально-нормативные акты Заказчика.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2"/>
      <w:headerReference w:type="first" r:id="rId13"/>
      <w:footerReference w:type="default" r:id="rId18"/>
      <w:footerReference w:type="first" r:id="rId19"/>
      <w:footnotePr/>
      <w:endnotePr/>
      <w:type w:val="nextPage"/>
      <w:pgSz w:w="11906" w:h="16838" w:orient="portrait"/>
      <w:pgMar w:top="1134" w:right="850" w:bottom="1134" w:left="992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Noto Sans CJK SC">
    <w:panose1 w:val="020B0502040504020204"/>
  </w:font>
  <w:font w:name="Wingdings">
    <w:panose1 w:val="05010000000000000000"/>
  </w:font>
  <w:font w:name="Liberation Sans">
    <w:panose1 w:val="020B0604020202020204"/>
  </w:font>
  <w:font w:name="Segoe UI">
    <w:panose1 w:val="020B050302020402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  <w:r/>
  </w:p>
  <w:p>
    <w:pPr>
      <w:pStyle w:val="89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14</w:t>
    </w:r>
    <w:r>
      <w:fldChar w:fldCharType="end"/>
    </w:r>
    <w:r/>
  </w:p>
  <w:p>
    <w:pPr>
      <w:pStyle w:val="89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16</w:t>
    </w:r>
    <w:r>
      <w:fldChar w:fldCharType="end"/>
    </w:r>
    <w:r/>
  </w:p>
  <w:p>
    <w:pPr>
      <w:pStyle w:val="897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0"/>
      <w:jc w:val="left"/>
      <w:spacing w:before="0" w:beforeAutospacing="0" w:after="200" w:afterAutospacing="0" w:line="276" w:lineRule="auto"/>
      <w:widowControl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tabs>
        <w:tab w:val="left" w:pos="2123" w:leader="none"/>
        <w:tab w:val="clear" w:pos="7143" w:leader="none"/>
        <w:tab w:val="clear" w:pos="14287" w:leader="none"/>
      </w:tabs>
    </w:pPr>
    <w:r>
      <w:tab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2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  <w:tabs>
          <w:tab w:val="num" w:pos="0" w:leader="none"/>
        </w:tabs>
      </w:pPr>
      <w:rPr>
        <w:b w:val="0"/>
        <w:bCs/>
        <w:i w:val="0"/>
        <w:sz w:val="22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i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  <w:strike w:val="0"/>
        <w:highlight w:val="whit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0" w:leader="none"/>
        </w:tabs>
      </w:pPr>
      <w:rPr>
        <w:rFonts w:hint="default" w:ascii="Tahoma" w:hAnsi="Tahoma" w:cs="Tahoma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30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31">
    <w:name w:val="Heading 1"/>
    <w:basedOn w:val="830"/>
    <w:next w:val="830"/>
    <w:link w:val="8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32">
    <w:name w:val="Heading 2"/>
    <w:basedOn w:val="830"/>
    <w:next w:val="830"/>
    <w:link w:val="8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33">
    <w:name w:val="Heading 3"/>
    <w:basedOn w:val="830"/>
    <w:next w:val="830"/>
    <w:link w:val="8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34">
    <w:name w:val="Heading 4"/>
    <w:basedOn w:val="830"/>
    <w:next w:val="830"/>
    <w:link w:val="8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35">
    <w:name w:val="Heading 5"/>
    <w:basedOn w:val="830"/>
    <w:next w:val="830"/>
    <w:link w:val="8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36">
    <w:name w:val="Heading 6"/>
    <w:basedOn w:val="830"/>
    <w:next w:val="830"/>
    <w:link w:val="8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837">
    <w:name w:val="Heading 7"/>
    <w:basedOn w:val="830"/>
    <w:next w:val="830"/>
    <w:link w:val="8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38">
    <w:name w:val="Heading 8"/>
    <w:basedOn w:val="830"/>
    <w:next w:val="830"/>
    <w:link w:val="8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839">
    <w:name w:val="Heading 9"/>
    <w:basedOn w:val="830"/>
    <w:next w:val="830"/>
    <w:link w:val="8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0" w:default="1">
    <w:name w:val="Default Paragraph Font"/>
    <w:uiPriority w:val="1"/>
    <w:semiHidden/>
    <w:unhideWhenUsed/>
    <w:qFormat/>
  </w:style>
  <w:style w:type="character" w:styleId="841" w:customStyle="1">
    <w:name w:val="Heading 1 Char"/>
    <w:basedOn w:val="840"/>
    <w:uiPriority w:val="9"/>
    <w:qFormat/>
    <w:rPr>
      <w:rFonts w:ascii="Arial" w:hAnsi="Arial" w:eastAsia="Arial" w:cs="Arial"/>
      <w:sz w:val="40"/>
      <w:szCs w:val="40"/>
    </w:rPr>
  </w:style>
  <w:style w:type="character" w:styleId="842" w:customStyle="1">
    <w:name w:val="Heading 2 Char"/>
    <w:basedOn w:val="840"/>
    <w:uiPriority w:val="9"/>
    <w:qFormat/>
    <w:rPr>
      <w:rFonts w:ascii="Arial" w:hAnsi="Arial" w:eastAsia="Arial" w:cs="Arial"/>
      <w:sz w:val="34"/>
    </w:rPr>
  </w:style>
  <w:style w:type="character" w:styleId="843" w:customStyle="1">
    <w:name w:val="Heading 3 Char"/>
    <w:basedOn w:val="840"/>
    <w:uiPriority w:val="9"/>
    <w:qFormat/>
    <w:rPr>
      <w:rFonts w:ascii="Arial" w:hAnsi="Arial" w:eastAsia="Arial" w:cs="Arial"/>
      <w:sz w:val="30"/>
      <w:szCs w:val="30"/>
    </w:rPr>
  </w:style>
  <w:style w:type="character" w:styleId="844" w:customStyle="1">
    <w:name w:val="Heading 4 Char"/>
    <w:basedOn w:val="84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45" w:customStyle="1">
    <w:name w:val="Heading 5 Char"/>
    <w:basedOn w:val="84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46" w:customStyle="1">
    <w:name w:val="Heading 6 Char"/>
    <w:basedOn w:val="84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47" w:customStyle="1">
    <w:name w:val="Heading 7 Char"/>
    <w:basedOn w:val="84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48" w:customStyle="1">
    <w:name w:val="Heading 8 Char"/>
    <w:basedOn w:val="84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49" w:customStyle="1">
    <w:name w:val="Heading 9 Char"/>
    <w:basedOn w:val="84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50" w:customStyle="1">
    <w:name w:val="Title Char"/>
    <w:basedOn w:val="840"/>
    <w:uiPriority w:val="10"/>
    <w:qFormat/>
    <w:rPr>
      <w:sz w:val="48"/>
      <w:szCs w:val="48"/>
    </w:rPr>
  </w:style>
  <w:style w:type="character" w:styleId="851" w:customStyle="1">
    <w:name w:val="Subtitle Char"/>
    <w:basedOn w:val="840"/>
    <w:uiPriority w:val="11"/>
    <w:qFormat/>
    <w:rPr>
      <w:sz w:val="24"/>
      <w:szCs w:val="24"/>
    </w:rPr>
  </w:style>
  <w:style w:type="character" w:styleId="852" w:customStyle="1">
    <w:name w:val="Quote Char"/>
    <w:uiPriority w:val="29"/>
    <w:qFormat/>
    <w:rPr>
      <w:i/>
    </w:rPr>
  </w:style>
  <w:style w:type="character" w:styleId="853" w:customStyle="1">
    <w:name w:val="Intense Quote Char"/>
    <w:uiPriority w:val="30"/>
    <w:qFormat/>
    <w:rPr>
      <w:i/>
    </w:rPr>
  </w:style>
  <w:style w:type="character" w:styleId="854" w:customStyle="1">
    <w:name w:val="Header Char"/>
    <w:basedOn w:val="840"/>
    <w:uiPriority w:val="99"/>
    <w:qFormat/>
  </w:style>
  <w:style w:type="character" w:styleId="855" w:customStyle="1">
    <w:name w:val="Caption Char"/>
    <w:uiPriority w:val="99"/>
    <w:qFormat/>
  </w:style>
  <w:style w:type="character" w:styleId="856" w:customStyle="1">
    <w:name w:val="Footnote Text Char"/>
    <w:uiPriority w:val="99"/>
    <w:qFormat/>
    <w:rPr>
      <w:sz w:val="18"/>
    </w:rPr>
  </w:style>
  <w:style w:type="character" w:styleId="857" w:customStyle="1">
    <w:name w:val="Endnote Text Char"/>
    <w:uiPriority w:val="99"/>
    <w:qFormat/>
    <w:rPr>
      <w:sz w:val="20"/>
    </w:rPr>
  </w:style>
  <w:style w:type="character" w:styleId="858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859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860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861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62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63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64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65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66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67" w:customStyle="1">
    <w:name w:val="Заголовок Знак"/>
    <w:uiPriority w:val="10"/>
    <w:qFormat/>
    <w:rPr>
      <w:sz w:val="48"/>
      <w:szCs w:val="48"/>
    </w:rPr>
  </w:style>
  <w:style w:type="character" w:styleId="868" w:customStyle="1">
    <w:name w:val="Подзаголовок Знак"/>
    <w:uiPriority w:val="11"/>
    <w:qFormat/>
    <w:rPr>
      <w:sz w:val="24"/>
      <w:szCs w:val="24"/>
    </w:rPr>
  </w:style>
  <w:style w:type="character" w:styleId="869" w:customStyle="1">
    <w:name w:val="Цитата 2 Знак"/>
    <w:link w:val="893"/>
    <w:uiPriority w:val="29"/>
    <w:qFormat/>
    <w:rPr>
      <w:i/>
    </w:rPr>
  </w:style>
  <w:style w:type="character" w:styleId="870" w:customStyle="1">
    <w:name w:val="Выделенная цитата Знак"/>
    <w:link w:val="894"/>
    <w:uiPriority w:val="30"/>
    <w:qFormat/>
    <w:rPr>
      <w:i/>
    </w:rPr>
  </w:style>
  <w:style w:type="character" w:styleId="871" w:customStyle="1">
    <w:name w:val="Верхний колонтитул Знак"/>
    <w:uiPriority w:val="99"/>
    <w:qFormat/>
  </w:style>
  <w:style w:type="character" w:styleId="872" w:customStyle="1">
    <w:name w:val="Footer Char"/>
    <w:uiPriority w:val="99"/>
    <w:qFormat/>
  </w:style>
  <w:style w:type="character" w:styleId="873" w:customStyle="1">
    <w:name w:val="Нижний колонтитул Знак"/>
    <w:uiPriority w:val="99"/>
    <w:qFormat/>
  </w:style>
  <w:style w:type="character" w:styleId="874">
    <w:name w:val="Hyperlink"/>
    <w:uiPriority w:val="99"/>
    <w:unhideWhenUsed/>
    <w:rPr>
      <w:color w:val="0563c1" w:themeColor="hyperlink"/>
      <w:u w:val="single"/>
    </w:rPr>
  </w:style>
  <w:style w:type="character" w:styleId="875" w:customStyle="1">
    <w:name w:val="Текст сноски Знак"/>
    <w:uiPriority w:val="99"/>
    <w:qFormat/>
    <w:rPr>
      <w:sz w:val="18"/>
    </w:rPr>
  </w:style>
  <w:style w:type="character" w:styleId="876">
    <w:name w:val="Символ сноски"/>
    <w:uiPriority w:val="99"/>
    <w:unhideWhenUsed/>
    <w:qFormat/>
    <w:rPr>
      <w:vertAlign w:val="superscript"/>
    </w:rPr>
  </w:style>
  <w:style w:type="character" w:styleId="877">
    <w:name w:val="footnote reference"/>
    <w:rPr>
      <w:vertAlign w:val="superscript"/>
    </w:rPr>
  </w:style>
  <w:style w:type="character" w:styleId="878" w:customStyle="1">
    <w:name w:val="Текст концевой сноски Знак"/>
    <w:uiPriority w:val="99"/>
    <w:qFormat/>
    <w:rPr>
      <w:sz w:val="20"/>
    </w:rPr>
  </w:style>
  <w:style w:type="character" w:styleId="87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80">
    <w:name w:val="endnote reference"/>
    <w:rPr>
      <w:vertAlign w:val="superscript"/>
    </w:rPr>
  </w:style>
  <w:style w:type="character" w:styleId="881" w:customStyle="1">
    <w:name w:val="комментарий"/>
    <w:qFormat/>
    <w:rPr>
      <w:b/>
      <w:i/>
      <w:shd w:val="clear" w:color="auto" w:fill="ffff99"/>
    </w:rPr>
  </w:style>
  <w:style w:type="character" w:styleId="882" w:customStyle="1">
    <w:name w:val="Текст примечания Знак"/>
    <w:link w:val="914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3">
    <w:name w:val="annotation reference"/>
    <w:basedOn w:val="840"/>
    <w:uiPriority w:val="99"/>
    <w:semiHidden/>
    <w:unhideWhenUsed/>
    <w:qFormat/>
    <w:rPr>
      <w:sz w:val="16"/>
      <w:szCs w:val="16"/>
    </w:rPr>
  </w:style>
  <w:style w:type="character" w:styleId="884" w:customStyle="1">
    <w:name w:val="Тема примечания Знак"/>
    <w:basedOn w:val="882"/>
    <w:link w:val="917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885" w:customStyle="1">
    <w:name w:val="Текст выноски Знак"/>
    <w:basedOn w:val="840"/>
    <w:link w:val="918"/>
    <w:uiPriority w:val="99"/>
    <w:semiHidden/>
    <w:qFormat/>
    <w:rPr>
      <w:rFonts w:ascii="Segoe UI" w:hAnsi="Segoe UI" w:cs="Segoe UI"/>
      <w:sz w:val="18"/>
      <w:szCs w:val="18"/>
    </w:rPr>
  </w:style>
  <w:style w:type="paragraph" w:styleId="886">
    <w:name w:val="Заголовок"/>
    <w:basedOn w:val="830"/>
    <w:next w:val="887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87" w:customStyle="1">
    <w:name w:val="Body Text"/>
    <w:pPr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Arial" w:hAnsi="Ari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u w:val="none"/>
      <w:vertAlign w:val="baseline"/>
      <w:lang w:val="ru-RU" w:eastAsia="zh-CN" w:bidi="ar-SA"/>
      <w14:ligatures w14:val="none"/>
    </w:rPr>
  </w:style>
  <w:style w:type="paragraph" w:styleId="888">
    <w:name w:val="List"/>
    <w:basedOn w:val="887"/>
    <w:rPr>
      <w:rFonts w:cs="Arial Unicode MS"/>
    </w:rPr>
  </w:style>
  <w:style w:type="paragraph" w:styleId="889">
    <w:name w:val="Caption"/>
    <w:basedOn w:val="830"/>
    <w:next w:val="830"/>
    <w:link w:val="855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890">
    <w:name w:val="Указатель"/>
    <w:basedOn w:val="830"/>
    <w:qFormat/>
    <w:pPr>
      <w:suppressLineNumbers/>
    </w:pPr>
    <w:rPr>
      <w:rFonts w:cs="Arial Unicode MS"/>
    </w:rPr>
  </w:style>
  <w:style w:type="paragraph" w:styleId="891">
    <w:name w:val="Title"/>
    <w:basedOn w:val="830"/>
    <w:next w:val="830"/>
    <w:link w:val="86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92">
    <w:name w:val="Subtitle"/>
    <w:basedOn w:val="830"/>
    <w:next w:val="830"/>
    <w:link w:val="868"/>
    <w:uiPriority w:val="11"/>
    <w:qFormat/>
    <w:pPr>
      <w:spacing w:before="200" w:after="200"/>
    </w:pPr>
    <w:rPr>
      <w:sz w:val="24"/>
      <w:szCs w:val="24"/>
    </w:rPr>
  </w:style>
  <w:style w:type="paragraph" w:styleId="893">
    <w:name w:val="Quote"/>
    <w:basedOn w:val="830"/>
    <w:next w:val="830"/>
    <w:link w:val="869"/>
    <w:uiPriority w:val="29"/>
    <w:qFormat/>
    <w:pPr>
      <w:ind w:left="720" w:right="720" w:firstLine="0"/>
    </w:pPr>
    <w:rPr>
      <w:i/>
    </w:rPr>
  </w:style>
  <w:style w:type="paragraph" w:styleId="894">
    <w:name w:val="Intense Quote"/>
    <w:basedOn w:val="830"/>
    <w:next w:val="830"/>
    <w:link w:val="870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95">
    <w:name w:val="Колонтитул"/>
    <w:basedOn w:val="830"/>
    <w:qFormat/>
  </w:style>
  <w:style w:type="paragraph" w:styleId="896">
    <w:name w:val="Header"/>
    <w:basedOn w:val="830"/>
    <w:link w:val="871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97">
    <w:name w:val="Footer"/>
    <w:basedOn w:val="830"/>
    <w:link w:val="873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98">
    <w:name w:val="footnote text"/>
    <w:basedOn w:val="830"/>
    <w:link w:val="875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99">
    <w:name w:val="endnote text"/>
    <w:basedOn w:val="830"/>
    <w:link w:val="878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900">
    <w:name w:val="toc 1"/>
    <w:basedOn w:val="830"/>
    <w:next w:val="830"/>
    <w:uiPriority w:val="39"/>
    <w:unhideWhenUsed/>
    <w:pPr>
      <w:spacing w:before="0" w:after="57"/>
    </w:pPr>
  </w:style>
  <w:style w:type="paragraph" w:styleId="901">
    <w:name w:val="toc 2"/>
    <w:basedOn w:val="830"/>
    <w:next w:val="830"/>
    <w:uiPriority w:val="39"/>
    <w:unhideWhenUsed/>
    <w:pPr>
      <w:ind w:left="283" w:firstLine="0"/>
      <w:spacing w:before="0" w:after="57"/>
    </w:pPr>
  </w:style>
  <w:style w:type="paragraph" w:styleId="902">
    <w:name w:val="toc 3"/>
    <w:basedOn w:val="830"/>
    <w:next w:val="830"/>
    <w:uiPriority w:val="39"/>
    <w:unhideWhenUsed/>
    <w:pPr>
      <w:ind w:left="567" w:firstLine="0"/>
      <w:spacing w:before="0" w:after="57"/>
    </w:pPr>
  </w:style>
  <w:style w:type="paragraph" w:styleId="903">
    <w:name w:val="toc 4"/>
    <w:basedOn w:val="830"/>
    <w:next w:val="830"/>
    <w:uiPriority w:val="39"/>
    <w:unhideWhenUsed/>
    <w:pPr>
      <w:ind w:left="850" w:firstLine="0"/>
      <w:spacing w:before="0" w:after="57"/>
    </w:pPr>
  </w:style>
  <w:style w:type="paragraph" w:styleId="904">
    <w:name w:val="toc 5"/>
    <w:basedOn w:val="830"/>
    <w:next w:val="830"/>
    <w:uiPriority w:val="39"/>
    <w:unhideWhenUsed/>
    <w:pPr>
      <w:ind w:left="1134" w:firstLine="0"/>
      <w:spacing w:before="0" w:after="57"/>
    </w:pPr>
  </w:style>
  <w:style w:type="paragraph" w:styleId="905">
    <w:name w:val="toc 6"/>
    <w:basedOn w:val="830"/>
    <w:next w:val="830"/>
    <w:uiPriority w:val="39"/>
    <w:unhideWhenUsed/>
    <w:pPr>
      <w:ind w:left="1417" w:firstLine="0"/>
      <w:spacing w:before="0" w:after="57"/>
    </w:pPr>
  </w:style>
  <w:style w:type="paragraph" w:styleId="906">
    <w:name w:val="toc 7"/>
    <w:basedOn w:val="830"/>
    <w:next w:val="830"/>
    <w:uiPriority w:val="39"/>
    <w:unhideWhenUsed/>
    <w:pPr>
      <w:ind w:left="1701" w:firstLine="0"/>
      <w:spacing w:before="0" w:after="57"/>
    </w:pPr>
  </w:style>
  <w:style w:type="paragraph" w:styleId="907">
    <w:name w:val="toc 8"/>
    <w:basedOn w:val="830"/>
    <w:next w:val="830"/>
    <w:uiPriority w:val="39"/>
    <w:unhideWhenUsed/>
    <w:pPr>
      <w:ind w:left="1984" w:firstLine="0"/>
      <w:spacing w:before="0" w:after="57"/>
    </w:pPr>
  </w:style>
  <w:style w:type="paragraph" w:styleId="908">
    <w:name w:val="toc 9"/>
    <w:basedOn w:val="830"/>
    <w:next w:val="830"/>
    <w:uiPriority w:val="39"/>
    <w:unhideWhenUsed/>
    <w:pPr>
      <w:ind w:left="2268" w:firstLine="0"/>
      <w:spacing w:before="0" w:after="57"/>
    </w:pPr>
  </w:style>
  <w:style w:type="paragraph" w:styleId="909">
    <w:name w:val="Index Heading"/>
    <w:basedOn w:val="886"/>
  </w:style>
  <w:style w:type="paragraph" w:styleId="910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911">
    <w:name w:val="table of figures"/>
    <w:basedOn w:val="830"/>
    <w:next w:val="830"/>
    <w:uiPriority w:val="99"/>
    <w:unhideWhenUsed/>
    <w:qFormat/>
    <w:pPr>
      <w:spacing w:before="0" w:after="0"/>
    </w:pPr>
  </w:style>
  <w:style w:type="paragraph" w:styleId="912">
    <w:name w:val="No Spacing"/>
    <w:basedOn w:val="830"/>
    <w:uiPriority w:val="1"/>
    <w:qFormat/>
    <w:pPr>
      <w:spacing w:before="0" w:after="0" w:line="240" w:lineRule="auto"/>
    </w:pPr>
  </w:style>
  <w:style w:type="paragraph" w:styleId="913">
    <w:name w:val="List Paragraph"/>
    <w:basedOn w:val="830"/>
    <w:uiPriority w:val="34"/>
    <w:qFormat/>
    <w:pPr>
      <w:contextualSpacing/>
      <w:ind w:left="720" w:firstLine="0"/>
      <w:spacing w:before="0" w:after="200"/>
    </w:pPr>
  </w:style>
  <w:style w:type="paragraph" w:styleId="914">
    <w:name w:val="annotation text"/>
    <w:link w:val="882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915" w:customStyle="1">
    <w:name w:val="Таблица"/>
    <w:qFormat/>
    <w:pPr>
      <w:jc w:val="center"/>
      <w:keepNext/>
      <w:spacing w:before="60" w:beforeAutospacing="0" w:after="60" w:afterAutospacing="0" w:line="240" w:lineRule="auto"/>
      <w:widowControl/>
    </w:pPr>
    <w:rPr>
      <w:rFonts w:ascii="Times New Roman" w:hAnsi="Times New Roman" w:eastAsia="Calibri" w:cs="Times New Roman"/>
      <w:b/>
      <w:color w:val="auto"/>
      <w:sz w:val="24"/>
      <w:szCs w:val="24"/>
      <w:lang w:val="ru-RU" w:eastAsia="ru-RU" w:bidi="ar-SA"/>
    </w:rPr>
  </w:style>
  <w:style w:type="paragraph" w:styleId="916" w:customStyle="1">
    <w:name w:val="Таблица шапка"/>
    <w:qFormat/>
    <w:pPr>
      <w:ind w:left="57" w:right="57" w:firstLine="0"/>
      <w:jc w:val="left"/>
      <w:keepNext/>
      <w:spacing w:before="40" w:beforeAutospacing="0" w:after="4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2"/>
      <w:szCs w:val="26"/>
      <w:lang w:val="ru-RU" w:eastAsia="ru-RU" w:bidi="ar-SA"/>
    </w:rPr>
  </w:style>
  <w:style w:type="paragraph" w:styleId="917">
    <w:name w:val="annotation subject"/>
    <w:basedOn w:val="914"/>
    <w:next w:val="914"/>
    <w:link w:val="884"/>
    <w:uiPriority w:val="99"/>
    <w:semiHidden/>
    <w:unhideWhenUsed/>
    <w:qFormat/>
    <w:pPr>
      <w:spacing w:before="0" w:after="200"/>
    </w:pPr>
    <w:rPr>
      <w:rFonts w:ascii="Arial" w:hAnsi="Arial" w:eastAsia="Arial" w:cs="Arial" w:asciiTheme="minorHAnsi" w:hAnsiTheme="minorHAnsi" w:eastAsiaTheme="minorHAnsi" w:cstheme="minorBidi"/>
      <w:b/>
      <w:bCs/>
      <w:lang w:eastAsia="en-US"/>
    </w:rPr>
  </w:style>
  <w:style w:type="paragraph" w:styleId="918">
    <w:name w:val="Balloon Text"/>
    <w:basedOn w:val="830"/>
    <w:link w:val="885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919" w:customStyle="1">
    <w:name w:val="Текст примечания1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u w:val="none"/>
      <w:vertAlign w:val="baseline"/>
      <w:lang w:val="ru-RU" w:eastAsia="ru-RU" w:bidi="ar-SA"/>
      <w14:ligatures w14:val="none"/>
    </w:rPr>
  </w:style>
  <w:style w:type="numbering" w:styleId="920" w:default="1">
    <w:name w:val="No List"/>
    <w:uiPriority w:val="99"/>
    <w:semiHidden/>
    <w:unhideWhenUsed/>
    <w:qFormat/>
  </w:style>
  <w:style w:type="table" w:styleId="921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22">
    <w:name w:val="Table Grid"/>
    <w:basedOn w:val="92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3" w:customStyle="1">
    <w:name w:val="Table Grid Light"/>
    <w:basedOn w:val="92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24">
    <w:name w:val="Plain Table 1"/>
    <w:basedOn w:val="92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25">
    <w:name w:val="Plain Table 2"/>
    <w:basedOn w:val="92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26">
    <w:name w:val="Plain Table 3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7">
    <w:name w:val="Plain Table 4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Plain Table 5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29">
    <w:name w:val="Grid Table 1 Light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Grid Table 1 Light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Grid Table 1 Light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Grid Table 1 Light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Grid Table 1 Light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Grid Table 1 Light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Grid Table 1 Light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Grid Table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Grid Table 2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Grid Table 2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2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Grid Table 2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Grid Table 2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Grid Table 2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Grid Table 3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Grid Table 3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Grid Table 3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Grid Table 3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Grid Table 3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Grid Table 3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4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1" w:customStyle="1">
    <w:name w:val="Grid Table 4 - Accent 1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68a2d8" w:themeFill="accent1" w:themeFillTint="EA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sz="4" w:space="0"/>
        </w:tcBorders>
      </w:tcPr>
    </w:tblStylePr>
  </w:style>
  <w:style w:type="table" w:styleId="952" w:customStyle="1">
    <w:name w:val="Grid Table 4 - Accent 2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953" w:customStyle="1">
    <w:name w:val="Grid Table 4 - Accent 3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954" w:customStyle="1">
    <w:name w:val="Grid Table 4 - Accent 4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955" w:customStyle="1">
    <w:name w:val="Grid Table 4 - Accent 5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56" w:customStyle="1">
    <w:name w:val="Grid Table 4 - Accent 6"/>
    <w:basedOn w:val="9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57">
    <w:name w:val="Grid Table 5 Dark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958" w:customStyle="1">
    <w:name w:val="Grid Table 5 Dark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959" w:customStyle="1">
    <w:name w:val="Grid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960" w:customStyle="1">
    <w:name w:val="Grid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961" w:customStyle="1">
    <w:name w:val="Grid Table 5 Dark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962" w:customStyle="1">
    <w:name w:val="Grid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963" w:customStyle="1">
    <w:name w:val="Grid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964">
    <w:name w:val="Grid Table 6 Colorful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65" w:customStyle="1">
    <w:name w:val="Grid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66" w:customStyle="1">
    <w:name w:val="Grid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67" w:customStyle="1">
    <w:name w:val="Grid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68" w:customStyle="1">
    <w:name w:val="Grid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69" w:customStyle="1">
    <w:name w:val="Grid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70" w:customStyle="1">
    <w:name w:val="Grid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71">
    <w:name w:val="Grid Table 7 Colorful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Grid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Grid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Grid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Grid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Grid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Grid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List Table 1 Light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1 Light - Accent 1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1 Light - Accent 2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1 Light - Accent 3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List Table 1 Light - Accent 4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List Table 1 Light - Accent 5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List Table 1 Light - Accent 6"/>
    <w:basedOn w:val="9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List Table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986" w:customStyle="1">
    <w:name w:val="List Table 2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987" w:customStyle="1">
    <w:name w:val="List Table 2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988" w:customStyle="1">
    <w:name w:val="List Table 2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989" w:customStyle="1">
    <w:name w:val="List Table 2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990" w:customStyle="1">
    <w:name w:val="List Table 2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991" w:customStyle="1">
    <w:name w:val="List Table 2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992">
    <w:name w:val="List Table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 w:customStyle="1">
    <w:name w:val="List Table 3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 w:customStyle="1">
    <w:name w:val="List Table 3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List Table 3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 w:customStyle="1">
    <w:name w:val="List Table 3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 w:customStyle="1">
    <w:name w:val="List Table 3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 w:customStyle="1">
    <w:name w:val="List Table 3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 w:customStyle="1">
    <w:name w:val="List Table 4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 w:customStyle="1">
    <w:name w:val="List Table 4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List Table 4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List Table 4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List Table 4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List Table 4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5 Dark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7" w:customStyle="1">
    <w:name w:val="List Table 5 Dark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8" w:customStyle="1">
    <w:name w:val="List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9" w:customStyle="1">
    <w:name w:val="List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10" w:customStyle="1">
    <w:name w:val="List Table 5 Dark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11" w:customStyle="1">
    <w:name w:val="List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12" w:customStyle="1">
    <w:name w:val="List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13">
    <w:name w:val="List Table 6 Colorful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1014" w:customStyle="1">
    <w:name w:val="List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015" w:customStyle="1">
    <w:name w:val="List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1016" w:customStyle="1">
    <w:name w:val="List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1017" w:customStyle="1">
    <w:name w:val="List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1018" w:customStyle="1">
    <w:name w:val="List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1019" w:customStyle="1">
    <w:name w:val="List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1020">
    <w:name w:val="List Table 7 Colorful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List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List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List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List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List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List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Lined - Accent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28" w:customStyle="1">
    <w:name w:val="Lined - Accent 1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1029" w:customStyle="1">
    <w:name w:val="Lined - Accent 2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030" w:customStyle="1">
    <w:name w:val="Lined - Accent 3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031" w:customStyle="1">
    <w:name w:val="Lined - Accent 4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032" w:customStyle="1">
    <w:name w:val="Lined - Accent 5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1033" w:customStyle="1">
    <w:name w:val="Lined - Accent 6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034" w:customStyle="1">
    <w:name w:val="Bordered &amp; Lined - Accent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035" w:customStyle="1">
    <w:name w:val="Bordered &amp; Lined - Accent 1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1036" w:customStyle="1">
    <w:name w:val="Bordered &amp; Lined - Accent 2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037" w:customStyle="1">
    <w:name w:val="Bordered &amp; Lined - Accent 3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038" w:customStyle="1">
    <w:name w:val="Bordered &amp; Lined - Accent 4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039" w:customStyle="1">
    <w:name w:val="Bordered &amp; Lined - Accent 5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1040" w:customStyle="1">
    <w:name w:val="Bordered &amp; Lined - Accent 6"/>
    <w:basedOn w:val="9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041" w:customStyle="1">
    <w:name w:val="Bordered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1042" w:customStyle="1">
    <w:name w:val="Bordered - Accent 1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043" w:customStyle="1">
    <w:name w:val="Bordered - Accent 2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1044" w:customStyle="1">
    <w:name w:val="Bordered - Accent 3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1045" w:customStyle="1">
    <w:name w:val="Bordered - Accent 4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1046" w:customStyle="1">
    <w:name w:val="Bordered - Accent 5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1047" w:customStyle="1">
    <w:name w:val="Bordered - Accent 6"/>
    <w:basedOn w:val="9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hyperlink" Target="http://www.zakupki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4</DocSecurit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Лумпова Ирина Гавриловна</dc:creator>
  <dc:description/>
  <dc:language>ru-RU</dc:language>
  <cp:lastModifiedBy>nikitina_nv</cp:lastModifiedBy>
  <cp:revision>65</cp:revision>
  <dcterms:created xsi:type="dcterms:W3CDTF">2024-04-22T05:59:00Z</dcterms:created>
  <dcterms:modified xsi:type="dcterms:W3CDTF">2026-05-25T04:50:55Z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